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44"/>
          <w:szCs w:val="44"/>
        </w:rPr>
      </w:pPr>
      <w:r>
        <w:rPr>
          <w:rFonts w:hint="eastAsia" w:ascii="方正小标宋简体" w:hAnsi="方正小标宋简体" w:eastAsia="方正小标宋简体" w:cs="方正小标宋简体"/>
          <w:sz w:val="44"/>
          <w:szCs w:val="44"/>
          <w:lang w:eastAsia="zh-CN"/>
        </w:rPr>
        <w:t>廊坊市</w:t>
      </w:r>
      <w:r>
        <w:rPr>
          <w:rFonts w:hint="eastAsia" w:ascii="方正小标宋简体" w:hAnsi="方正小标宋简体" w:eastAsia="方正小标宋简体" w:cs="方正小标宋简体"/>
          <w:sz w:val="44"/>
          <w:szCs w:val="44"/>
          <w:lang w:val="en-US" w:eastAsia="zh-CN"/>
        </w:rPr>
        <w:t>中共</w:t>
      </w:r>
      <w:r>
        <w:rPr>
          <w:rFonts w:hint="eastAsia" w:ascii="方正小标宋简体" w:hAnsi="方正小标宋简体" w:eastAsia="方正小标宋简体" w:cs="方正小标宋简体"/>
          <w:sz w:val="44"/>
          <w:szCs w:val="44"/>
          <w:lang w:eastAsia="zh-CN"/>
        </w:rPr>
        <w:t>大厂回族自治县委</w:t>
      </w:r>
      <w:r>
        <w:rPr>
          <w:rFonts w:hint="eastAsia" w:ascii="方正小标宋简体" w:hAnsi="方正小标宋简体" w:eastAsia="方正小标宋简体" w:cs="方正小标宋简体"/>
          <w:sz w:val="44"/>
          <w:szCs w:val="44"/>
          <w:lang w:val="en-US" w:eastAsia="zh-CN"/>
        </w:rPr>
        <w:t>政法委</w:t>
      </w:r>
      <w:r>
        <w:rPr>
          <w:rFonts w:hint="eastAsia" w:ascii="方正小标宋简体" w:hAnsi="方正小标宋简体" w:eastAsia="方正小标宋简体" w:cs="方正小标宋简体"/>
          <w:sz w:val="44"/>
          <w:szCs w:val="44"/>
          <w:lang w:eastAsia="zh-CN"/>
        </w:rPr>
        <w:t>员会201</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lang w:eastAsia="zh-CN"/>
        </w:rPr>
        <w:t>年部门</w:t>
      </w:r>
      <w:r>
        <w:rPr>
          <w:rFonts w:hint="eastAsia" w:ascii="方正小标宋简体" w:hAnsi="方正小标宋简体" w:eastAsia="方正小标宋简体" w:cs="方正小标宋简体"/>
          <w:sz w:val="44"/>
          <w:szCs w:val="44"/>
          <w:lang w:val="en-US" w:eastAsia="zh-CN"/>
        </w:rPr>
        <w:t>预算</w:t>
      </w:r>
      <w:r>
        <w:rPr>
          <w:rFonts w:hint="eastAsia" w:ascii="方正小标宋简体" w:hAnsi="方正小标宋简体" w:eastAsia="方正小标宋简体" w:cs="方正小标宋简体"/>
          <w:sz w:val="44"/>
          <w:szCs w:val="44"/>
          <w:lang w:eastAsia="zh-CN"/>
        </w:rPr>
        <w:t>信息公开</w:t>
      </w:r>
    </w:p>
    <w:p>
      <w:pPr>
        <w:ind w:firstLine="640" w:firstLineChars="200"/>
        <w:rPr>
          <w:rFonts w:ascii="仿宋" w:hAnsi="仿宋" w:eastAsia="仿宋"/>
          <w:sz w:val="32"/>
          <w:szCs w:val="32"/>
        </w:rPr>
      </w:pPr>
      <w:r>
        <w:rPr>
          <w:rFonts w:hint="eastAsia" w:ascii="仿宋" w:hAnsi="仿宋" w:eastAsia="仿宋"/>
          <w:sz w:val="32"/>
          <w:szCs w:val="32"/>
        </w:rPr>
        <w:t>按照《中华人民共和国预算法》、《地方预决算公开操作规程》和《河北省省级预算公开办法》规定，现将廊坊市中共</w:t>
      </w:r>
      <w:r>
        <w:rPr>
          <w:rFonts w:hint="eastAsia" w:ascii="仿宋" w:hAnsi="仿宋" w:eastAsia="仿宋" w:cs="宋体"/>
          <w:sz w:val="32"/>
          <w:szCs w:val="32"/>
        </w:rPr>
        <w:t>大厂回族自治县委政法委员会</w:t>
      </w:r>
      <w:r>
        <w:rPr>
          <w:rFonts w:ascii="仿宋" w:hAnsi="仿宋" w:eastAsia="仿宋"/>
          <w:sz w:val="32"/>
          <w:szCs w:val="32"/>
        </w:rPr>
        <w:t>2017</w:t>
      </w:r>
      <w:r>
        <w:rPr>
          <w:rFonts w:hint="eastAsia" w:ascii="仿宋" w:hAnsi="仿宋" w:eastAsia="仿宋"/>
          <w:sz w:val="32"/>
          <w:szCs w:val="32"/>
        </w:rPr>
        <w:t>年部门预算公开如下：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一、部门职责及机构设置情况</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3" w:firstLineChars="200"/>
        <w:rPr>
          <w:rFonts w:hint="eastAsia" w:ascii="楷体" w:hAnsi="楷体" w:eastAsia="楷体" w:cs="楷体"/>
          <w:b/>
          <w:sz w:val="32"/>
          <w:szCs w:val="32"/>
        </w:rPr>
      </w:pPr>
      <w:r>
        <w:rPr>
          <w:rFonts w:hint="eastAsia" w:ascii="楷体" w:hAnsi="楷体" w:eastAsia="楷体" w:cs="楷体"/>
          <w:b/>
          <w:sz w:val="32"/>
          <w:szCs w:val="32"/>
        </w:rPr>
        <w:t>部门职责：</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0" w:firstLineChars="200"/>
        <w:rPr>
          <w:rFonts w:ascii="仿宋" w:hAnsi="仿宋" w:eastAsia="仿宋"/>
          <w:sz w:val="32"/>
          <w:szCs w:val="32"/>
        </w:rPr>
      </w:pPr>
      <w:r>
        <w:rPr>
          <w:rFonts w:hint="eastAsia" w:ascii="仿宋" w:hAnsi="仿宋" w:eastAsia="仿宋"/>
          <w:sz w:val="32"/>
          <w:szCs w:val="32"/>
        </w:rPr>
        <w:t>廊坊市中共</w:t>
      </w:r>
      <w:r>
        <w:rPr>
          <w:rFonts w:hint="eastAsia" w:ascii="仿宋" w:hAnsi="仿宋" w:eastAsia="仿宋" w:cs="宋体"/>
          <w:sz w:val="32"/>
          <w:szCs w:val="32"/>
        </w:rPr>
        <w:t>大厂回族自治县委政法委员会</w:t>
      </w:r>
      <w:r>
        <w:rPr>
          <w:rFonts w:hint="eastAsia" w:ascii="仿宋" w:hAnsi="仿宋" w:eastAsia="仿宋"/>
          <w:sz w:val="32"/>
          <w:szCs w:val="32"/>
        </w:rPr>
        <w:t>（综治办）是县委研究、制定政法、综治和维稳工作政策，组织领导政法部门依法行使职权，管理和加强政法队伍建设，以及组织协调有关部门开展社会治安综合治理工作，推动综治维稳举措落实。其内设二个部门，分别是：</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rPr>
          <w:rFonts w:ascii="仿宋" w:hAnsi="仿宋" w:eastAsia="仿宋"/>
          <w:sz w:val="32"/>
          <w:szCs w:val="32"/>
        </w:rPr>
      </w:pPr>
      <w:r>
        <w:rPr>
          <w:rFonts w:ascii="仿宋" w:hAnsi="仿宋" w:eastAsia="仿宋" w:cs="Microsoft Sans Serif"/>
          <w:sz w:val="32"/>
          <w:szCs w:val="32"/>
        </w:rPr>
        <w:t xml:space="preserve">    1</w:t>
      </w:r>
      <w:r>
        <w:rPr>
          <w:rFonts w:hint="eastAsia" w:ascii="仿宋" w:hAnsi="仿宋" w:eastAsia="仿宋"/>
          <w:sz w:val="32"/>
          <w:szCs w:val="32"/>
        </w:rPr>
        <w:t>、办公室：负责处理机关日常事务，收发和传阅文件，档案管理和后勤财物；做好文秘工作，组织会务、起草综合性文件，编发信息、简报；抓好内外联系和工作协调、调查研究。</w:t>
      </w:r>
    </w:p>
    <w:p>
      <w:pPr>
        <w:pStyle w:val="1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rPr>
          <w:rFonts w:ascii="仿宋" w:hAnsi="仿宋" w:eastAsia="仿宋"/>
          <w:sz w:val="32"/>
          <w:szCs w:val="32"/>
        </w:rPr>
      </w:pPr>
      <w:r>
        <w:rPr>
          <w:rFonts w:ascii="仿宋" w:hAnsi="仿宋" w:eastAsia="仿宋" w:cs="Microsoft Sans Serif"/>
          <w:sz w:val="32"/>
          <w:szCs w:val="32"/>
        </w:rPr>
        <w:t xml:space="preserve">    2</w:t>
      </w:r>
      <w:r>
        <w:rPr>
          <w:rFonts w:hint="eastAsia" w:ascii="仿宋" w:hAnsi="仿宋" w:eastAsia="仿宋"/>
          <w:sz w:val="32"/>
          <w:szCs w:val="32"/>
        </w:rPr>
        <w:t>、政治处：抓好教育培训工作，组织开展各项活动，提升政法队伍整体素质。加强政法系统中层干部考核管理。协调督办涉法涉诉信访案件及机关党务工作。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hint="eastAsia" w:ascii="仿宋" w:hAnsi="仿宋" w:eastAsia="仿宋"/>
          <w:sz w:val="32"/>
          <w:szCs w:val="32"/>
        </w:rPr>
        <w:t>廊坊市中共</w:t>
      </w:r>
      <w:r>
        <w:rPr>
          <w:rFonts w:hint="eastAsia" w:ascii="仿宋" w:hAnsi="仿宋" w:eastAsia="仿宋" w:cs="宋体"/>
          <w:sz w:val="32"/>
          <w:szCs w:val="32"/>
        </w:rPr>
        <w:t>大厂回族自治县委政法委员会</w:t>
      </w:r>
      <w:r>
        <w:rPr>
          <w:rFonts w:hint="eastAsia" w:ascii="仿宋" w:hAnsi="仿宋" w:eastAsia="仿宋" w:cs="仿宋_GB2312"/>
          <w:kern w:val="0"/>
          <w:sz w:val="32"/>
          <w:szCs w:val="32"/>
        </w:rPr>
        <w:t>（综治办）：</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、组织开展严打整治斗争，严厉打击各类违法犯罪活动。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、加强科技防范建设，逐步落实技防设备，推广农村平安互助网，提升治安防范技术水平。</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、加强对重点要害部位的安全保卫，排查整治各类治安隐患问题。</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、加强安全生产和食品药品监管工作，开展专项检查治理，严防重大公共安全事故发生。</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、突出社会管理创新，加强流动人口、特殊人群、治安重点区域、网络监管等项工作。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6</w:t>
      </w:r>
      <w:r>
        <w:rPr>
          <w:rFonts w:hint="eastAsia" w:ascii="仿宋" w:hAnsi="仿宋" w:eastAsia="仿宋" w:cs="仿宋_GB2312"/>
          <w:kern w:val="0"/>
          <w:sz w:val="32"/>
          <w:szCs w:val="32"/>
        </w:rPr>
        <w:t>、发挥专兼职治安巡逻队伍作用，形成多种防控措施有效互补的大防控格局，进一步加强社会治安面控制，维护良好的社会治安秩序。</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7</w:t>
      </w:r>
      <w:r>
        <w:rPr>
          <w:rFonts w:hint="eastAsia" w:ascii="仿宋" w:hAnsi="仿宋" w:eastAsia="仿宋" w:cs="仿宋_GB2312"/>
          <w:kern w:val="0"/>
          <w:sz w:val="32"/>
          <w:szCs w:val="32"/>
        </w:rPr>
        <w:t>、落实维护稳定信息风险评估机制，抓好涉军、企业协解、下岗职工等特殊群体的稳控工作，维护全县整治安定、社会稳定。</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8</w:t>
      </w:r>
      <w:r>
        <w:rPr>
          <w:rFonts w:hint="eastAsia" w:ascii="仿宋" w:hAnsi="仿宋" w:eastAsia="仿宋" w:cs="仿宋_GB2312"/>
          <w:kern w:val="0"/>
          <w:sz w:val="32"/>
          <w:szCs w:val="32"/>
        </w:rPr>
        <w:t>、加强综治基层基础工作，健全组织，活化机制，充分发挥农村基层维护稳定第一道防线作用，推进平安创建。</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9</w:t>
      </w:r>
      <w:r>
        <w:rPr>
          <w:rFonts w:hint="eastAsia" w:ascii="仿宋" w:hAnsi="仿宋" w:eastAsia="仿宋" w:cs="仿宋_GB2312"/>
          <w:kern w:val="0"/>
          <w:sz w:val="32"/>
          <w:szCs w:val="32"/>
        </w:rPr>
        <w:t>、抓好“三位一体”调解工作体系深化延伸，依托县、乡、村三级调解网络，进一步完善工作机制，改进工作做法，充实队伍，积极开展工作，加强对矛盾纠纷和信访苗条隐患的排除调处，解决问题，化解矛盾，预防和妥善处置群体性事件，全力维护社会稳定。</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10</w:t>
      </w:r>
      <w:r>
        <w:rPr>
          <w:rFonts w:hint="eastAsia" w:ascii="仿宋" w:hAnsi="仿宋" w:eastAsia="仿宋" w:cs="仿宋_GB2312"/>
          <w:kern w:val="0"/>
          <w:sz w:val="32"/>
          <w:szCs w:val="32"/>
        </w:rPr>
        <w:t>、加强政法队伍建设，开展执法大培训，提高执法能力；加强执法监督，推进执法规范化建设，预防和减少违法违纪问题发生，促进公正执法；落实政策，提供保障，坚持从优待警，继续落实干警年休假制度、体检制度、生活困难干警资助制度，不断改善和提高干警待遇和保障。加强考核管理，实行竞争上岗，坚持公开选拔干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县委防范办公室：</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、负责法轮功、门徒会等其他邪教和对社会有危害气功组织问题的调查摸底，了解掌握邪教组织发展动向，制定相关处理和防范工作措施。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、深入开展形式多样的反邪教宣传教育活动，不断巩固和占领反邪教宣传阵地。</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480" w:lineRule="atLeast"/>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、积极组织开展打击和防范各类非法邪教活动，严密监控非法活动动向，获取预警性信息，及时进行打击处理，遏制其发展反弹势头。</w:t>
      </w:r>
    </w:p>
    <w:p>
      <w:pPr>
        <w:autoSpaceDE w:val="0"/>
        <w:autoSpaceDN w:val="0"/>
        <w:adjustRightInd w:val="0"/>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仿宋_GB2312" w:hAnsi="Times New Roman" w:eastAsia="仿宋_GB2312"/>
          <w:sz w:val="32"/>
          <w:szCs w:val="24"/>
        </w:rPr>
      </w:pPr>
      <w:r>
        <w:rPr>
          <w:rFonts w:hint="eastAsia" w:ascii="仿宋_GB2312" w:hAnsi="Times New Roman" w:eastAsia="仿宋_GB2312"/>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_GB2312" w:hAnsi="Times New Roman" w:eastAsia="仿宋_GB2312"/>
                <w:b/>
                <w:szCs w:val="24"/>
              </w:rPr>
            </w:pPr>
            <w:r>
              <w:rPr>
                <w:rFonts w:hint="eastAsia" w:ascii="仿宋_GB2312" w:hAnsi="Times New Roman" w:eastAsia="仿宋_GB2312"/>
                <w:b/>
                <w:szCs w:val="24"/>
              </w:rPr>
              <w:t>单位名称</w:t>
            </w:r>
          </w:p>
        </w:tc>
        <w:tc>
          <w:tcPr>
            <w:tcW w:w="1134" w:type="dxa"/>
            <w:vMerge w:val="restart"/>
            <w:vAlign w:val="center"/>
          </w:tcPr>
          <w:p>
            <w:pPr>
              <w:spacing w:line="300" w:lineRule="exact"/>
              <w:jc w:val="center"/>
              <w:rPr>
                <w:rFonts w:ascii="仿宋_GB2312" w:hAnsi="Times New Roman" w:eastAsia="仿宋_GB2312"/>
                <w:b/>
                <w:szCs w:val="24"/>
              </w:rPr>
            </w:pPr>
            <w:r>
              <w:rPr>
                <w:rFonts w:hint="eastAsia" w:ascii="仿宋_GB2312" w:hAnsi="Times New Roman" w:eastAsia="仿宋_GB2312"/>
                <w:b/>
                <w:szCs w:val="24"/>
              </w:rPr>
              <w:t>单位性质</w:t>
            </w:r>
          </w:p>
        </w:tc>
        <w:tc>
          <w:tcPr>
            <w:tcW w:w="1276" w:type="dxa"/>
            <w:vMerge w:val="restart"/>
            <w:vAlign w:val="center"/>
          </w:tcPr>
          <w:p>
            <w:pPr>
              <w:spacing w:line="300" w:lineRule="exact"/>
              <w:jc w:val="center"/>
              <w:rPr>
                <w:rFonts w:ascii="仿宋_GB2312" w:hAnsi="Times New Roman" w:eastAsia="仿宋_GB2312"/>
                <w:b/>
                <w:szCs w:val="24"/>
              </w:rPr>
            </w:pPr>
            <w:r>
              <w:rPr>
                <w:rFonts w:hint="eastAsia" w:ascii="仿宋_GB2312" w:hAnsi="Times New Roman" w:eastAsia="仿宋_GB2312"/>
                <w:b/>
                <w:szCs w:val="24"/>
              </w:rPr>
              <w:t>单位规格</w:t>
            </w:r>
          </w:p>
        </w:tc>
        <w:tc>
          <w:tcPr>
            <w:tcW w:w="2902" w:type="dxa"/>
            <w:vMerge w:val="restart"/>
            <w:vAlign w:val="center"/>
          </w:tcPr>
          <w:p>
            <w:pPr>
              <w:spacing w:line="300" w:lineRule="exact"/>
              <w:jc w:val="center"/>
              <w:rPr>
                <w:rFonts w:ascii="仿宋_GB2312" w:hAnsi="Times New Roman" w:eastAsia="仿宋_GB2312"/>
                <w:b/>
                <w:szCs w:val="24"/>
              </w:rPr>
            </w:pPr>
            <w:r>
              <w:rPr>
                <w:rFonts w:hint="eastAsia" w:ascii="仿宋_GB2312"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_GB2312" w:hAnsi="Times New Roman" w:eastAsia="仿宋_GB2312"/>
                <w:szCs w:val="24"/>
              </w:rPr>
            </w:pPr>
          </w:p>
        </w:tc>
        <w:tc>
          <w:tcPr>
            <w:tcW w:w="1134" w:type="dxa"/>
            <w:vMerge w:val="continue"/>
            <w:vAlign w:val="center"/>
          </w:tcPr>
          <w:p>
            <w:pPr>
              <w:spacing w:line="300" w:lineRule="exact"/>
              <w:jc w:val="left"/>
              <w:outlineLvl w:val="0"/>
              <w:rPr>
                <w:rFonts w:ascii="仿宋_GB2312" w:hAnsi="Times New Roman" w:eastAsia="仿宋_GB2312"/>
                <w:szCs w:val="24"/>
              </w:rPr>
            </w:pPr>
          </w:p>
        </w:tc>
        <w:tc>
          <w:tcPr>
            <w:tcW w:w="1276" w:type="dxa"/>
            <w:vMerge w:val="continue"/>
            <w:vAlign w:val="center"/>
          </w:tcPr>
          <w:p>
            <w:pPr>
              <w:spacing w:line="300" w:lineRule="exact"/>
              <w:jc w:val="left"/>
              <w:outlineLvl w:val="0"/>
              <w:rPr>
                <w:rFonts w:ascii="仿宋_GB2312" w:hAnsi="Times New Roman" w:eastAsia="仿宋_GB2312"/>
                <w:szCs w:val="24"/>
              </w:rPr>
            </w:pPr>
          </w:p>
        </w:tc>
        <w:tc>
          <w:tcPr>
            <w:tcW w:w="2902" w:type="dxa"/>
            <w:vMerge w:val="continue"/>
            <w:vAlign w:val="center"/>
          </w:tcPr>
          <w:p>
            <w:pPr>
              <w:spacing w:line="300" w:lineRule="exact"/>
              <w:jc w:val="left"/>
              <w:outlineLvl w:val="0"/>
              <w:rPr>
                <w:rFonts w:ascii="仿宋_GB2312"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 w:hAnsi="仿宋" w:eastAsia="仿宋"/>
                <w:szCs w:val="21"/>
              </w:rPr>
            </w:pPr>
            <w:r>
              <w:rPr>
                <w:rFonts w:hint="eastAsia" w:ascii="仿宋" w:hAnsi="仿宋" w:eastAsia="仿宋" w:cs="宋体"/>
                <w:szCs w:val="21"/>
                <w:lang w:val="en-US" w:eastAsia="zh-CN"/>
              </w:rPr>
              <w:t>廊坊市</w:t>
            </w:r>
            <w:r>
              <w:rPr>
                <w:rFonts w:hint="eastAsia" w:ascii="仿宋" w:hAnsi="仿宋" w:eastAsia="仿宋" w:cs="宋体"/>
                <w:szCs w:val="21"/>
              </w:rPr>
              <w:t>中共大厂回族自治县委政法委员会</w:t>
            </w:r>
          </w:p>
        </w:tc>
        <w:tc>
          <w:tcPr>
            <w:tcW w:w="1134" w:type="dxa"/>
            <w:vAlign w:val="center"/>
          </w:tcPr>
          <w:p>
            <w:pPr>
              <w:spacing w:line="300" w:lineRule="exact"/>
              <w:jc w:val="left"/>
              <w:rPr>
                <w:rFonts w:ascii="仿宋" w:hAnsi="仿宋" w:eastAsia="仿宋"/>
                <w:szCs w:val="21"/>
              </w:rPr>
            </w:pPr>
            <w:r>
              <w:rPr>
                <w:rFonts w:hint="eastAsia" w:ascii="仿宋" w:hAnsi="仿宋" w:eastAsia="仿宋"/>
                <w:szCs w:val="21"/>
              </w:rPr>
              <w:t>行政</w:t>
            </w:r>
          </w:p>
        </w:tc>
        <w:tc>
          <w:tcPr>
            <w:tcW w:w="1276" w:type="dxa"/>
            <w:vAlign w:val="center"/>
          </w:tcPr>
          <w:p>
            <w:pPr>
              <w:spacing w:line="300" w:lineRule="exact"/>
              <w:jc w:val="left"/>
              <w:rPr>
                <w:rFonts w:ascii="仿宋" w:hAnsi="仿宋" w:eastAsia="仿宋"/>
                <w:szCs w:val="21"/>
              </w:rPr>
            </w:pPr>
            <w:r>
              <w:rPr>
                <w:rFonts w:hint="eastAsia" w:ascii="仿宋" w:hAnsi="仿宋" w:eastAsia="仿宋"/>
                <w:szCs w:val="21"/>
              </w:rPr>
              <w:t>科级</w:t>
            </w:r>
          </w:p>
        </w:tc>
        <w:tc>
          <w:tcPr>
            <w:tcW w:w="2902" w:type="dxa"/>
            <w:vAlign w:val="center"/>
          </w:tcPr>
          <w:p>
            <w:pPr>
              <w:spacing w:line="300" w:lineRule="exact"/>
              <w:jc w:val="left"/>
              <w:rPr>
                <w:rFonts w:ascii="仿宋" w:hAnsi="仿宋" w:eastAsia="仿宋"/>
                <w:szCs w:val="21"/>
              </w:rPr>
            </w:pPr>
            <w:r>
              <w:rPr>
                <w:rFonts w:hint="eastAsia" w:ascii="仿宋" w:hAnsi="仿宋" w:eastAsia="仿宋"/>
                <w:szCs w:val="21"/>
              </w:rPr>
              <w:t>财政拨款</w:t>
            </w:r>
          </w:p>
        </w:tc>
      </w:tr>
    </w:tbl>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二、部门预算安排的总体情况</w:t>
      </w:r>
    </w:p>
    <w:p>
      <w:pPr>
        <w:ind w:firstLine="640"/>
        <w:rPr>
          <w:rFonts w:ascii="仿宋" w:hAnsi="仿宋" w:eastAsia="仿宋"/>
          <w:sz w:val="32"/>
          <w:szCs w:val="32"/>
        </w:rPr>
      </w:pPr>
      <w:r>
        <w:rPr>
          <w:rFonts w:hint="eastAsia" w:ascii="仿宋" w:hAnsi="仿宋" w:eastAsia="仿宋"/>
          <w:sz w:val="32"/>
          <w:szCs w:val="32"/>
        </w:rPr>
        <w:t>按照预算管理有关规定，</w:t>
      </w:r>
      <w:r>
        <w:rPr>
          <w:rFonts w:hint="eastAsia" w:ascii="仿宋" w:hAnsi="仿宋" w:eastAsia="仿宋"/>
          <w:sz w:val="32"/>
          <w:szCs w:val="32"/>
          <w:lang w:val="en-US" w:eastAsia="zh-CN"/>
        </w:rPr>
        <w:t>目前</w:t>
      </w:r>
      <w:r>
        <w:rPr>
          <w:rFonts w:hint="eastAsia" w:ascii="仿宋" w:hAnsi="仿宋" w:eastAsia="仿宋"/>
          <w:sz w:val="32"/>
          <w:szCs w:val="32"/>
        </w:rPr>
        <w:t>我</w:t>
      </w:r>
      <w:r>
        <w:rPr>
          <w:rFonts w:hint="eastAsia" w:ascii="仿宋" w:hAnsi="仿宋" w:eastAsia="仿宋"/>
          <w:sz w:val="32"/>
          <w:szCs w:val="32"/>
          <w:lang w:val="en-US" w:eastAsia="zh-CN"/>
        </w:rPr>
        <w:t>县部门</w:t>
      </w:r>
      <w:r>
        <w:rPr>
          <w:rFonts w:hint="eastAsia" w:ascii="仿宋" w:hAnsi="仿宋" w:eastAsia="仿宋"/>
          <w:sz w:val="32"/>
          <w:szCs w:val="32"/>
        </w:rPr>
        <w:t>预算的编制实行综合预算制度，即全部收入和支出都反映在预算中。</w:t>
      </w:r>
      <w:r>
        <w:rPr>
          <w:rFonts w:hint="eastAsia" w:ascii="仿宋" w:hAnsi="仿宋" w:eastAsia="仿宋"/>
          <w:sz w:val="32"/>
          <w:szCs w:val="32"/>
          <w:lang w:val="en-US" w:eastAsia="zh-CN"/>
        </w:rPr>
        <w:t>我部门</w:t>
      </w:r>
      <w:r>
        <w:rPr>
          <w:rFonts w:hint="eastAsia" w:ascii="仿宋" w:hAnsi="仿宋" w:eastAsia="仿宋"/>
          <w:sz w:val="32"/>
          <w:szCs w:val="32"/>
        </w:rPr>
        <w:t>全部收支</w:t>
      </w:r>
      <w:r>
        <w:rPr>
          <w:rFonts w:hint="eastAsia" w:ascii="仿宋" w:hAnsi="仿宋" w:eastAsia="仿宋"/>
          <w:sz w:val="32"/>
          <w:szCs w:val="32"/>
          <w:lang w:val="en-US" w:eastAsia="zh-CN"/>
        </w:rPr>
        <w:t>包含</w:t>
      </w:r>
      <w:r>
        <w:rPr>
          <w:rFonts w:hint="eastAsia" w:ascii="仿宋" w:hAnsi="仿宋" w:eastAsia="仿宋"/>
          <w:sz w:val="32"/>
          <w:szCs w:val="32"/>
        </w:rPr>
        <w:t>在</w:t>
      </w:r>
      <w:r>
        <w:rPr>
          <w:rFonts w:hint="eastAsia" w:ascii="仿宋" w:hAnsi="仿宋" w:eastAsia="仿宋"/>
          <w:sz w:val="32"/>
          <w:szCs w:val="32"/>
          <w:lang w:val="en-US" w:eastAsia="zh-CN"/>
        </w:rPr>
        <w:t>部门</w:t>
      </w:r>
      <w:r>
        <w:rPr>
          <w:rFonts w:hint="eastAsia" w:ascii="仿宋" w:hAnsi="仿宋" w:eastAsia="仿宋"/>
          <w:sz w:val="32"/>
          <w:szCs w:val="32"/>
        </w:rPr>
        <w:t>预算中</w:t>
      </w:r>
      <w:r>
        <w:rPr>
          <w:rFonts w:hint="eastAsia" w:ascii="仿宋" w:hAnsi="仿宋" w:eastAsia="仿宋"/>
          <w:sz w:val="32"/>
          <w:szCs w:val="32"/>
          <w:lang w:eastAsia="zh-CN"/>
        </w:rPr>
        <w:t>。</w:t>
      </w:r>
    </w:p>
    <w:p>
      <w:pPr>
        <w:ind w:firstLine="640"/>
        <w:rPr>
          <w:rFonts w:hint="eastAsia" w:ascii="楷体" w:hAnsi="楷体" w:eastAsia="楷体" w:cs="楷体"/>
          <w:b/>
          <w:bCs/>
          <w:sz w:val="32"/>
          <w:szCs w:val="32"/>
        </w:rPr>
      </w:pPr>
      <w:r>
        <w:rPr>
          <w:rFonts w:hint="eastAsia" w:ascii="楷体" w:hAnsi="楷体" w:eastAsia="楷体" w:cs="楷体"/>
          <w:b/>
          <w:bCs/>
          <w:sz w:val="32"/>
          <w:szCs w:val="32"/>
        </w:rPr>
        <w:t>1、收入说明</w:t>
      </w:r>
    </w:p>
    <w:p>
      <w:pPr>
        <w:ind w:firstLine="640"/>
        <w:rPr>
          <w:rFonts w:ascii="仿宋" w:hAnsi="仿宋" w:eastAsia="仿宋"/>
          <w:sz w:val="32"/>
          <w:szCs w:val="32"/>
        </w:rPr>
      </w:pPr>
      <w:r>
        <w:rPr>
          <w:rFonts w:hint="eastAsia" w:ascii="仿宋" w:hAnsi="仿宋" w:eastAsia="仿宋"/>
          <w:sz w:val="32"/>
          <w:szCs w:val="32"/>
        </w:rPr>
        <w:t>按照预算管理有关规定，我</w:t>
      </w:r>
      <w:r>
        <w:rPr>
          <w:rFonts w:hint="eastAsia" w:ascii="仿宋" w:hAnsi="仿宋" w:eastAsia="仿宋"/>
          <w:sz w:val="32"/>
          <w:szCs w:val="32"/>
          <w:lang w:val="en-US" w:eastAsia="zh-CN"/>
        </w:rPr>
        <w:t>单位</w:t>
      </w:r>
      <w:r>
        <w:rPr>
          <w:rFonts w:hint="eastAsia" w:ascii="仿宋" w:hAnsi="仿宋" w:eastAsia="仿宋"/>
          <w:sz w:val="32"/>
          <w:szCs w:val="32"/>
        </w:rPr>
        <w:t>预算的编制实行综合预算制度，即全部收入和支出都反映在预算中。</w:t>
      </w:r>
      <w:r>
        <w:rPr>
          <w:rFonts w:ascii="仿宋" w:hAnsi="仿宋" w:eastAsia="仿宋"/>
          <w:sz w:val="32"/>
          <w:szCs w:val="32"/>
        </w:rPr>
        <w:t>2017</w:t>
      </w:r>
      <w:r>
        <w:rPr>
          <w:rFonts w:hint="eastAsia" w:ascii="仿宋" w:hAnsi="仿宋" w:eastAsia="仿宋"/>
          <w:sz w:val="32"/>
          <w:szCs w:val="32"/>
        </w:rPr>
        <w:t>年预算收入</w:t>
      </w:r>
      <w:r>
        <w:rPr>
          <w:rFonts w:ascii="仿宋" w:hAnsi="仿宋" w:eastAsia="仿宋"/>
          <w:color w:val="000000"/>
          <w:sz w:val="32"/>
          <w:szCs w:val="32"/>
        </w:rPr>
        <w:t>625.7</w:t>
      </w:r>
      <w:r>
        <w:rPr>
          <w:rFonts w:hint="eastAsia" w:ascii="仿宋" w:hAnsi="仿宋" w:eastAsia="仿宋"/>
          <w:sz w:val="32"/>
          <w:szCs w:val="32"/>
        </w:rPr>
        <w:t>万元，其中：一般公共预算收入</w:t>
      </w:r>
      <w:r>
        <w:rPr>
          <w:rFonts w:ascii="仿宋" w:hAnsi="仿宋" w:eastAsia="仿宋"/>
          <w:color w:val="000000"/>
          <w:sz w:val="32"/>
          <w:szCs w:val="32"/>
        </w:rPr>
        <w:t>625.7</w:t>
      </w:r>
      <w:r>
        <w:rPr>
          <w:rFonts w:hint="eastAsia" w:ascii="仿宋" w:hAnsi="仿宋" w:eastAsia="仿宋"/>
          <w:sz w:val="32"/>
          <w:szCs w:val="32"/>
        </w:rPr>
        <w:t>万元，政府性基金收入</w:t>
      </w:r>
      <w:r>
        <w:rPr>
          <w:rFonts w:ascii="仿宋" w:hAnsi="仿宋" w:eastAsia="仿宋"/>
          <w:sz w:val="32"/>
          <w:szCs w:val="32"/>
        </w:rPr>
        <w:t>0</w:t>
      </w:r>
      <w:r>
        <w:rPr>
          <w:rFonts w:hint="eastAsia" w:ascii="仿宋" w:hAnsi="仿宋" w:eastAsia="仿宋"/>
          <w:sz w:val="32"/>
          <w:szCs w:val="32"/>
        </w:rPr>
        <w:t>万元，国有资本经营收入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ind w:firstLine="640"/>
        <w:rPr>
          <w:rFonts w:hint="eastAsia" w:ascii="楷体" w:hAnsi="楷体" w:eastAsia="楷体" w:cs="楷体"/>
          <w:b/>
          <w:bCs/>
          <w:sz w:val="32"/>
          <w:szCs w:val="32"/>
        </w:rPr>
      </w:pPr>
      <w:r>
        <w:rPr>
          <w:rFonts w:hint="eastAsia" w:ascii="楷体" w:hAnsi="楷体" w:eastAsia="楷体" w:cs="楷体"/>
          <w:b/>
          <w:bCs/>
          <w:sz w:val="32"/>
          <w:szCs w:val="32"/>
        </w:rPr>
        <w:t>2、支出说明</w:t>
      </w:r>
    </w:p>
    <w:p>
      <w:pPr>
        <w:ind w:firstLine="640"/>
        <w:rPr>
          <w:rFonts w:ascii="仿宋" w:hAnsi="仿宋" w:eastAsia="仿宋"/>
          <w:sz w:val="32"/>
          <w:szCs w:val="32"/>
        </w:rPr>
      </w:pPr>
      <w:r>
        <w:rPr>
          <w:rFonts w:hint="eastAsia" w:ascii="仿宋" w:hAnsi="仿宋" w:eastAsia="仿宋"/>
          <w:sz w:val="32"/>
          <w:szCs w:val="32"/>
        </w:rPr>
        <w:t>按照预算管理有关规定，我</w:t>
      </w:r>
      <w:r>
        <w:rPr>
          <w:rFonts w:hint="eastAsia" w:ascii="仿宋" w:hAnsi="仿宋" w:eastAsia="仿宋"/>
          <w:sz w:val="32"/>
          <w:szCs w:val="32"/>
          <w:lang w:val="en-US" w:eastAsia="zh-CN"/>
        </w:rPr>
        <w:t>单位</w:t>
      </w:r>
      <w:r>
        <w:rPr>
          <w:rFonts w:hint="eastAsia" w:ascii="仿宋" w:hAnsi="仿宋" w:eastAsia="仿宋"/>
          <w:sz w:val="32"/>
          <w:szCs w:val="32"/>
        </w:rPr>
        <w:t>预算的编制实行综合预算制度，即全部收入和支出都反映在预算中。</w:t>
      </w:r>
      <w:r>
        <w:rPr>
          <w:rFonts w:ascii="仿宋" w:hAnsi="仿宋" w:eastAsia="仿宋"/>
          <w:sz w:val="32"/>
          <w:szCs w:val="32"/>
        </w:rPr>
        <w:t>2017</w:t>
      </w:r>
      <w:r>
        <w:rPr>
          <w:rFonts w:hint="eastAsia" w:ascii="仿宋" w:hAnsi="仿宋" w:eastAsia="仿宋"/>
          <w:sz w:val="32"/>
          <w:szCs w:val="32"/>
        </w:rPr>
        <w:t>年支出预算</w:t>
      </w:r>
      <w:r>
        <w:rPr>
          <w:rFonts w:ascii="仿宋" w:hAnsi="仿宋" w:eastAsia="仿宋"/>
          <w:color w:val="000000"/>
          <w:sz w:val="32"/>
          <w:szCs w:val="32"/>
        </w:rPr>
        <w:t>625.7</w:t>
      </w:r>
      <w:r>
        <w:rPr>
          <w:rFonts w:hint="eastAsia" w:ascii="仿宋" w:hAnsi="仿宋" w:eastAsia="仿宋"/>
          <w:sz w:val="32"/>
          <w:szCs w:val="32"/>
        </w:rPr>
        <w:t>万元，其中基本支出</w:t>
      </w:r>
      <w:r>
        <w:rPr>
          <w:rFonts w:ascii="仿宋" w:hAnsi="仿宋" w:eastAsia="仿宋"/>
          <w:sz w:val="32"/>
          <w:szCs w:val="32"/>
        </w:rPr>
        <w:t>346.24</w:t>
      </w:r>
      <w:r>
        <w:rPr>
          <w:rFonts w:hint="eastAsia" w:ascii="仿宋" w:hAnsi="仿宋" w:eastAsia="仿宋"/>
          <w:sz w:val="32"/>
          <w:szCs w:val="32"/>
        </w:rPr>
        <w:t>万元，包括人员经费</w:t>
      </w:r>
      <w:r>
        <w:rPr>
          <w:rFonts w:hint="eastAsia" w:ascii="仿宋" w:hAnsi="仿宋" w:eastAsia="仿宋" w:cs="宋体"/>
          <w:sz w:val="32"/>
          <w:szCs w:val="32"/>
        </w:rPr>
        <w:t>和</w:t>
      </w:r>
      <w:r>
        <w:rPr>
          <w:rFonts w:hint="eastAsia" w:ascii="仿宋" w:hAnsi="仿宋" w:eastAsia="仿宋"/>
          <w:sz w:val="32"/>
          <w:szCs w:val="32"/>
        </w:rPr>
        <w:t>日常公用经费</w:t>
      </w:r>
      <w:r>
        <w:rPr>
          <w:rFonts w:hint="eastAsia" w:ascii="仿宋" w:hAnsi="仿宋" w:eastAsia="仿宋" w:cs="宋体"/>
          <w:sz w:val="32"/>
          <w:szCs w:val="32"/>
        </w:rPr>
        <w:t>；项目支出</w:t>
      </w:r>
      <w:r>
        <w:rPr>
          <w:rFonts w:ascii="仿宋" w:hAnsi="仿宋" w:eastAsia="仿宋"/>
          <w:sz w:val="32"/>
          <w:szCs w:val="32"/>
        </w:rPr>
        <w:t>279.46</w:t>
      </w:r>
      <w:r>
        <w:rPr>
          <w:rFonts w:hint="eastAsia" w:ascii="仿宋" w:hAnsi="仿宋" w:eastAsia="仿宋" w:cs="宋体"/>
          <w:sz w:val="32"/>
          <w:szCs w:val="32"/>
        </w:rPr>
        <w:t>万元</w:t>
      </w:r>
      <w:r>
        <w:rPr>
          <w:rFonts w:hint="eastAsia" w:ascii="仿宋" w:hAnsi="仿宋" w:eastAsia="仿宋"/>
          <w:sz w:val="32"/>
          <w:szCs w:val="32"/>
        </w:rPr>
        <w:t>。</w:t>
      </w:r>
    </w:p>
    <w:p>
      <w:pPr>
        <w:ind w:firstLine="640"/>
        <w:rPr>
          <w:rFonts w:hint="eastAsia" w:ascii="楷体" w:hAnsi="楷体" w:eastAsia="楷体" w:cs="楷体"/>
          <w:b/>
          <w:bCs/>
          <w:sz w:val="32"/>
          <w:szCs w:val="32"/>
        </w:rPr>
      </w:pPr>
      <w:r>
        <w:rPr>
          <w:rFonts w:hint="eastAsia" w:ascii="楷体" w:hAnsi="楷体" w:eastAsia="楷体" w:cs="楷体"/>
          <w:b/>
          <w:bCs/>
          <w:sz w:val="32"/>
          <w:szCs w:val="32"/>
        </w:rPr>
        <w:t>3、比上年增减变化情况</w:t>
      </w:r>
    </w:p>
    <w:p>
      <w:pPr>
        <w:ind w:firstLine="640"/>
        <w:rPr>
          <w:rFonts w:hint="eastAsia" w:ascii="仿宋" w:hAnsi="仿宋" w:eastAsia="仿宋" w:cs="仿宋"/>
          <w:sz w:val="32"/>
          <w:szCs w:val="32"/>
        </w:rPr>
      </w:pPr>
      <w:r>
        <w:rPr>
          <w:rFonts w:hint="eastAsia" w:ascii="仿宋" w:hAnsi="仿宋" w:eastAsia="仿宋" w:cs="仿宋"/>
          <w:sz w:val="32"/>
          <w:szCs w:val="32"/>
        </w:rPr>
        <w:t>2017年预算收支安排</w:t>
      </w:r>
      <w:r>
        <w:rPr>
          <w:rFonts w:hint="eastAsia" w:ascii="仿宋" w:hAnsi="仿宋" w:eastAsia="仿宋" w:cs="仿宋"/>
          <w:color w:val="000000"/>
          <w:sz w:val="32"/>
          <w:szCs w:val="32"/>
        </w:rPr>
        <w:t>625.7</w:t>
      </w:r>
      <w:r>
        <w:rPr>
          <w:rFonts w:hint="eastAsia" w:ascii="仿宋" w:hAnsi="仿宋" w:eastAsia="仿宋" w:cs="仿宋"/>
          <w:sz w:val="32"/>
          <w:szCs w:val="32"/>
        </w:rPr>
        <w:t>万元，较2016年预算增加310.24万元，其中：基本支出增加127.38万元，主要为增加人员经费支出124.55万元、日常公用支出2.83万元；项目支出增加182.86万元，主要为增加全县政法队伍建设经费支出7万元、维稳工作经费支出10万元、社会治安综合治理工作经费支出165.86万元项目支出。</w:t>
      </w: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三、机关运行经费安排情况</w:t>
      </w:r>
    </w:p>
    <w:p>
      <w:pPr>
        <w:autoSpaceDE w:val="0"/>
        <w:autoSpaceDN w:val="0"/>
        <w:adjustRightInd w:val="0"/>
        <w:ind w:left="198"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rPr>
        <w:t>机关运行经费共计安排</w:t>
      </w:r>
      <w:r>
        <w:rPr>
          <w:rFonts w:hint="eastAsia" w:ascii="仿宋" w:hAnsi="仿宋" w:eastAsia="仿宋" w:cs="仿宋"/>
          <w:color w:val="000000"/>
          <w:sz w:val="32"/>
          <w:szCs w:val="32"/>
        </w:rPr>
        <w:t>26.83万元</w:t>
      </w:r>
      <w:r>
        <w:rPr>
          <w:rFonts w:hint="eastAsia" w:ascii="仿宋" w:hAnsi="仿宋" w:eastAsia="仿宋" w:cs="仿宋"/>
          <w:sz w:val="32"/>
          <w:szCs w:val="32"/>
        </w:rPr>
        <w:t>，主要用于</w:t>
      </w:r>
      <w:r>
        <w:rPr>
          <w:rFonts w:hint="eastAsia" w:ascii="仿宋" w:hAnsi="仿宋" w:eastAsia="仿宋" w:cs="仿宋"/>
          <w:sz w:val="32"/>
          <w:szCs w:val="32"/>
          <w:lang w:val="en-US" w:eastAsia="zh-CN"/>
        </w:rPr>
        <w:t>本单位</w:t>
      </w:r>
      <w:r>
        <w:rPr>
          <w:rFonts w:hint="eastAsia" w:ascii="仿宋" w:hAnsi="仿宋" w:eastAsia="仿宋" w:cs="仿宋"/>
          <w:sz w:val="32"/>
          <w:szCs w:val="32"/>
        </w:rPr>
        <w:t>办公区的日常维修等日常运行支出。</w:t>
      </w:r>
      <w:r>
        <w:rPr>
          <w:rFonts w:hint="eastAsia" w:ascii="仿宋" w:hAnsi="仿宋" w:eastAsia="仿宋" w:cs="仿宋"/>
          <w:color w:val="auto"/>
          <w:sz w:val="32"/>
          <w:szCs w:val="32"/>
        </w:rPr>
        <w:t>机关运行经费</w:t>
      </w:r>
      <w:r>
        <w:rPr>
          <w:rFonts w:hint="eastAsia" w:ascii="仿宋" w:hAnsi="仿宋" w:eastAsia="仿宋" w:cs="仿宋"/>
          <w:color w:val="auto"/>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spacing w:line="480" w:lineRule="atLeast"/>
        <w:ind w:firstLine="560"/>
        <w:rPr>
          <w:rFonts w:ascii="仿宋" w:hAnsi="仿宋" w:eastAsia="仿宋"/>
          <w:color w:val="000000"/>
          <w:sz w:val="32"/>
          <w:szCs w:val="32"/>
        </w:rPr>
      </w:pPr>
      <w:r>
        <w:rPr>
          <w:rFonts w:ascii="仿宋" w:hAnsi="仿宋" w:eastAsia="仿宋"/>
          <w:sz w:val="32"/>
          <w:szCs w:val="32"/>
        </w:rPr>
        <w:t>2017</w:t>
      </w:r>
      <w:r>
        <w:rPr>
          <w:rFonts w:hint="eastAsia" w:ascii="仿宋" w:hAnsi="仿宋" w:eastAsia="仿宋"/>
          <w:sz w:val="32"/>
          <w:szCs w:val="32"/>
        </w:rPr>
        <w:t>年，我单位“三公”经费预算安排</w:t>
      </w:r>
      <w:r>
        <w:rPr>
          <w:rFonts w:ascii="仿宋" w:hAnsi="仿宋" w:eastAsia="仿宋"/>
          <w:color w:val="000000"/>
          <w:sz w:val="32"/>
          <w:szCs w:val="32"/>
        </w:rPr>
        <w:t>11.67</w:t>
      </w:r>
      <w:r>
        <w:rPr>
          <w:rFonts w:hint="eastAsia" w:ascii="仿宋" w:hAnsi="仿宋" w:eastAsia="仿宋"/>
          <w:sz w:val="32"/>
          <w:szCs w:val="32"/>
        </w:rPr>
        <w:t>万元，其中因公出国（境）费</w:t>
      </w:r>
      <w:r>
        <w:rPr>
          <w:rFonts w:ascii="仿宋" w:hAnsi="仿宋" w:eastAsia="仿宋"/>
          <w:sz w:val="32"/>
          <w:szCs w:val="32"/>
        </w:rPr>
        <w:t>0</w:t>
      </w:r>
      <w:r>
        <w:rPr>
          <w:rFonts w:hint="eastAsia" w:ascii="仿宋" w:hAnsi="仿宋" w:eastAsia="仿宋"/>
          <w:sz w:val="32"/>
          <w:szCs w:val="32"/>
        </w:rPr>
        <w:t>万元；公务用车购置及运维费</w:t>
      </w:r>
      <w:r>
        <w:rPr>
          <w:rFonts w:ascii="仿宋" w:hAnsi="仿宋" w:eastAsia="仿宋"/>
          <w:color w:val="000000"/>
          <w:sz w:val="32"/>
          <w:szCs w:val="32"/>
        </w:rPr>
        <w:t>10.9</w:t>
      </w:r>
      <w:r>
        <w:rPr>
          <w:rFonts w:hint="eastAsia" w:ascii="仿宋" w:hAnsi="仿宋" w:eastAsia="仿宋"/>
          <w:sz w:val="32"/>
          <w:szCs w:val="32"/>
        </w:rPr>
        <w:t>万元（其中：公务用车购置费为</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color w:val="000000"/>
          <w:sz w:val="32"/>
          <w:szCs w:val="32"/>
        </w:rPr>
        <w:t>10.9</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；公务接待费</w:t>
      </w:r>
      <w:r>
        <w:rPr>
          <w:rFonts w:ascii="仿宋" w:hAnsi="仿宋" w:eastAsia="仿宋"/>
          <w:sz w:val="32"/>
          <w:szCs w:val="32"/>
        </w:rPr>
        <w:t>0.77</w:t>
      </w:r>
      <w:r>
        <w:rPr>
          <w:rFonts w:hint="eastAsia" w:ascii="仿宋" w:hAnsi="仿宋" w:eastAsia="仿宋"/>
          <w:sz w:val="32"/>
          <w:szCs w:val="32"/>
        </w:rPr>
        <w:t>万元。</w:t>
      </w:r>
      <w:r>
        <w:rPr>
          <w:rFonts w:hint="eastAsia" w:ascii="仿宋" w:hAnsi="仿宋" w:eastAsia="仿宋" w:cs="宋体"/>
          <w:sz w:val="32"/>
          <w:szCs w:val="32"/>
        </w:rPr>
        <w:t>比</w:t>
      </w:r>
      <w:r>
        <w:rPr>
          <w:rFonts w:ascii="仿宋" w:hAnsi="仿宋" w:eastAsia="仿宋"/>
          <w:sz w:val="32"/>
          <w:szCs w:val="32"/>
        </w:rPr>
        <w:t>2016</w:t>
      </w:r>
      <w:r>
        <w:rPr>
          <w:rFonts w:hint="eastAsia" w:ascii="仿宋" w:hAnsi="仿宋" w:eastAsia="仿宋"/>
          <w:sz w:val="32"/>
          <w:szCs w:val="32"/>
        </w:rPr>
        <w:t>年减少</w:t>
      </w:r>
      <w:r>
        <w:rPr>
          <w:rFonts w:ascii="仿宋" w:hAnsi="仿宋" w:eastAsia="仿宋"/>
          <w:sz w:val="32"/>
          <w:szCs w:val="32"/>
        </w:rPr>
        <w:t>5.68</w:t>
      </w:r>
      <w:r>
        <w:rPr>
          <w:rFonts w:hint="eastAsia" w:ascii="仿宋" w:hAnsi="仿宋" w:eastAsia="仿宋"/>
          <w:sz w:val="32"/>
          <w:szCs w:val="32"/>
        </w:rPr>
        <w:t>万元，主要原因是</w:t>
      </w:r>
      <w:r>
        <w:rPr>
          <w:rFonts w:hint="eastAsia" w:ascii="仿宋" w:hAnsi="仿宋" w:eastAsia="仿宋"/>
          <w:color w:val="000000"/>
          <w:sz w:val="32"/>
          <w:szCs w:val="32"/>
        </w:rPr>
        <w:t>贯彻落实八项规定要求，厉行节约、严格控制支出。实施公务用车制度改革，加强公务用车管理，规范公务接待活动等，使得“三公”经费各单项支出均明显下降。</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五、绩效预算信息</w:t>
      </w:r>
    </w:p>
    <w:p>
      <w:pPr>
        <w:spacing w:line="560" w:lineRule="exact"/>
        <w:ind w:firstLine="643" w:firstLineChars="200"/>
        <w:rPr>
          <w:rFonts w:ascii="仿宋" w:hAnsi="仿宋" w:eastAsia="仿宋"/>
          <w:b/>
          <w:sz w:val="32"/>
          <w:szCs w:val="32"/>
        </w:rPr>
      </w:pPr>
      <w:bookmarkStart w:id="0" w:name="_Toc471398463"/>
      <w:r>
        <w:rPr>
          <w:rFonts w:hint="eastAsia" w:ascii="楷体" w:hAnsi="楷体" w:eastAsia="楷体" w:cs="楷体"/>
          <w:b/>
          <w:sz w:val="32"/>
          <w:szCs w:val="32"/>
        </w:rPr>
        <w:t>总体绩效目标：</w:t>
      </w:r>
    </w:p>
    <w:p>
      <w:pPr>
        <w:spacing w:line="560" w:lineRule="exact"/>
        <w:ind w:firstLine="560"/>
        <w:rPr>
          <w:rFonts w:ascii="仿宋" w:hAnsi="仿宋" w:eastAsia="仿宋"/>
          <w:sz w:val="32"/>
          <w:szCs w:val="32"/>
        </w:rPr>
      </w:pPr>
      <w:r>
        <w:rPr>
          <w:rFonts w:ascii="仿宋" w:hAnsi="仿宋" w:eastAsia="仿宋"/>
          <w:sz w:val="32"/>
          <w:szCs w:val="32"/>
        </w:rPr>
        <w:t>2017</w:t>
      </w:r>
      <w:r>
        <w:rPr>
          <w:rFonts w:hint="eastAsia" w:ascii="仿宋" w:hAnsi="仿宋" w:eastAsia="仿宋"/>
          <w:sz w:val="32"/>
          <w:szCs w:val="32"/>
        </w:rPr>
        <w:t>年</w:t>
      </w:r>
      <w:r>
        <w:rPr>
          <w:rFonts w:ascii="仿宋" w:hAnsi="仿宋" w:eastAsia="仿宋"/>
          <w:sz w:val="32"/>
          <w:szCs w:val="32"/>
        </w:rPr>
        <w:t>,</w:t>
      </w:r>
      <w:r>
        <w:rPr>
          <w:rFonts w:hint="eastAsia" w:ascii="仿宋" w:hAnsi="仿宋" w:eastAsia="仿宋"/>
          <w:sz w:val="32"/>
          <w:szCs w:val="32"/>
        </w:rPr>
        <w:t>廊坊市中共</w:t>
      </w:r>
      <w:r>
        <w:rPr>
          <w:rFonts w:hint="eastAsia" w:ascii="仿宋" w:hAnsi="仿宋" w:eastAsia="仿宋" w:cs="宋体"/>
          <w:sz w:val="32"/>
          <w:szCs w:val="32"/>
        </w:rPr>
        <w:t>大厂回族自治县委政法委员会</w:t>
      </w:r>
      <w:r>
        <w:rPr>
          <w:rFonts w:hint="eastAsia" w:ascii="仿宋" w:hAnsi="仿宋" w:eastAsia="仿宋"/>
          <w:sz w:val="32"/>
          <w:szCs w:val="32"/>
        </w:rPr>
        <w:t>主要职责是加强维稳安保工作，维护县域和谐稳定、加强社会管理综合治理，推进平安建设整体提升、加强政法队伍建设，提升政法队伍整体素质。</w:t>
      </w:r>
    </w:p>
    <w:p>
      <w:pPr>
        <w:spacing w:line="560" w:lineRule="exact"/>
        <w:ind w:firstLine="560"/>
        <w:rPr>
          <w:rFonts w:hint="eastAsia" w:ascii="楷体" w:hAnsi="楷体" w:eastAsia="楷体" w:cs="楷体"/>
          <w:b w:val="0"/>
          <w:bCs/>
          <w:sz w:val="32"/>
          <w:szCs w:val="32"/>
        </w:rPr>
      </w:pPr>
      <w:r>
        <w:rPr>
          <w:rFonts w:hint="eastAsia" w:ascii="仿宋" w:hAnsi="仿宋" w:eastAsia="仿宋" w:cs="仿宋"/>
          <w:b w:val="0"/>
          <w:bCs/>
          <w:sz w:val="32"/>
          <w:szCs w:val="32"/>
        </w:rPr>
        <w:t>（一）加强维稳安保，维护县域和谐稳定绩效目标情况。</w:t>
      </w:r>
    </w:p>
    <w:p>
      <w:pPr>
        <w:spacing w:line="560" w:lineRule="exact"/>
        <w:ind w:firstLine="627" w:firstLineChars="196"/>
        <w:rPr>
          <w:rFonts w:ascii="仿宋" w:hAnsi="仿宋" w:eastAsia="仿宋"/>
          <w:sz w:val="32"/>
          <w:szCs w:val="32"/>
        </w:rPr>
      </w:pPr>
      <w:r>
        <w:rPr>
          <w:rFonts w:hint="eastAsia" w:ascii="仿宋" w:hAnsi="仿宋" w:eastAsia="仿宋"/>
          <w:b w:val="0"/>
          <w:bCs/>
          <w:sz w:val="32"/>
          <w:szCs w:val="32"/>
        </w:rPr>
        <w:t>一是筑牢“护城河”工程。</w:t>
      </w:r>
      <w:r>
        <w:rPr>
          <w:rFonts w:hint="eastAsia" w:ascii="仿宋" w:hAnsi="仿宋" w:eastAsia="仿宋"/>
          <w:sz w:val="32"/>
          <w:szCs w:val="32"/>
        </w:rPr>
        <w:t>提前谋划部署，做好全国“两会”等重要会议、暑期警卫等重点敏感时期的各类隐患排查治理，发挥谭台治安检查站进京屏障作用，落实“逢车必查，逢患必除”的工作要求，加强进京安全检查，实现首都的“东大门”万无一失。</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绩效目标：预防减少不稳定因素的发生，有效化解不稳定隐患、群体性事件和突发事件，维护国家安全工作。</w:t>
      </w:r>
    </w:p>
    <w:p>
      <w:pPr>
        <w:spacing w:line="560" w:lineRule="exact"/>
        <w:ind w:firstLine="627" w:firstLineChars="196"/>
        <w:rPr>
          <w:rFonts w:ascii="仿宋" w:hAnsi="仿宋" w:eastAsia="仿宋"/>
          <w:sz w:val="32"/>
          <w:szCs w:val="32"/>
        </w:rPr>
      </w:pPr>
      <w:r>
        <w:rPr>
          <w:rFonts w:hint="eastAsia" w:ascii="仿宋" w:hAnsi="仿宋" w:eastAsia="仿宋"/>
          <w:b w:val="0"/>
          <w:bCs/>
          <w:sz w:val="32"/>
          <w:szCs w:val="32"/>
        </w:rPr>
        <w:t>二是持续不断地开展严打整治。</w:t>
      </w:r>
      <w:r>
        <w:rPr>
          <w:rFonts w:hint="eastAsia" w:ascii="仿宋" w:hAnsi="仿宋" w:eastAsia="仿宋"/>
          <w:sz w:val="32"/>
          <w:szCs w:val="32"/>
        </w:rPr>
        <w:t>充分发挥政法各部门职能作用，协调联动，保持对各类违法犯罪活动的高压态势，重点打击严重暴力犯罪、黑恶势力犯罪，非法集资等涉众型犯罪、黄赌毒犯罪等影响群众生活和社会稳定的突出犯罪行为，切实提高群众的安全感和满意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绩效目标：通过社会管理综合治理，使社会稳定，重大恶性案件和多发性案件得到控制并逐步有所下降，社会丑恶现象大大减少。</w:t>
      </w:r>
    </w:p>
    <w:p>
      <w:pPr>
        <w:spacing w:line="560" w:lineRule="exact"/>
        <w:ind w:firstLine="627" w:firstLineChars="196"/>
        <w:rPr>
          <w:rFonts w:ascii="仿宋" w:hAnsi="仿宋" w:eastAsia="仿宋"/>
          <w:sz w:val="32"/>
          <w:szCs w:val="32"/>
        </w:rPr>
      </w:pPr>
      <w:r>
        <w:rPr>
          <w:rFonts w:hint="eastAsia" w:ascii="仿宋" w:hAnsi="仿宋" w:eastAsia="仿宋"/>
          <w:b w:val="0"/>
          <w:bCs/>
          <w:sz w:val="32"/>
          <w:szCs w:val="32"/>
        </w:rPr>
        <w:t>三是加强反恐防暴工作。</w:t>
      </w:r>
      <w:r>
        <w:rPr>
          <w:rFonts w:hint="eastAsia" w:ascii="仿宋" w:hAnsi="仿宋" w:eastAsia="仿宋"/>
          <w:sz w:val="32"/>
          <w:szCs w:val="32"/>
        </w:rPr>
        <w:t>由公安局牵头根据形势需要修改完善反恐工作预案，加强应急突出队伍建设，备足装备，强化培训，定期演练，不断提高应急处突能力。同时，广泛发动群众、依靠群众，建立动态化、常态化、一体化的反恐怖工作体系，使暴恐分子“进不来、藏不住、干不成、逃不掉”。</w:t>
      </w:r>
    </w:p>
    <w:p>
      <w:pPr>
        <w:spacing w:line="560" w:lineRule="exact"/>
        <w:ind w:firstLine="560"/>
        <w:rPr>
          <w:rFonts w:ascii="仿宋" w:hAnsi="仿宋" w:eastAsia="仿宋"/>
          <w:sz w:val="32"/>
          <w:szCs w:val="32"/>
        </w:rPr>
      </w:pPr>
      <w:r>
        <w:rPr>
          <w:rFonts w:hint="eastAsia" w:ascii="仿宋" w:hAnsi="仿宋" w:eastAsia="仿宋"/>
          <w:sz w:val="32"/>
          <w:szCs w:val="32"/>
        </w:rPr>
        <w:t>绩效目标：预防减少不稳定因素的发生，有效化解不稳定隐患、群体性事件和突发事件，维护国家安全工作。</w:t>
      </w:r>
    </w:p>
    <w:p>
      <w:pPr>
        <w:spacing w:line="560" w:lineRule="exact"/>
        <w:ind w:firstLine="560"/>
        <w:rPr>
          <w:rFonts w:ascii="仿宋" w:hAnsi="仿宋" w:eastAsia="仿宋"/>
          <w:b w:val="0"/>
          <w:bCs/>
          <w:sz w:val="32"/>
          <w:szCs w:val="32"/>
        </w:rPr>
      </w:pPr>
      <w:r>
        <w:rPr>
          <w:rFonts w:hint="eastAsia" w:ascii="仿宋" w:hAnsi="仿宋" w:eastAsia="仿宋"/>
          <w:b w:val="0"/>
          <w:bCs/>
          <w:sz w:val="32"/>
          <w:szCs w:val="32"/>
        </w:rPr>
        <w:t>（二）加强综治工作，推进平安建设整体提升绩效目标情况。</w:t>
      </w:r>
    </w:p>
    <w:p>
      <w:pPr>
        <w:spacing w:line="560" w:lineRule="exact"/>
        <w:ind w:firstLine="560"/>
        <w:rPr>
          <w:rFonts w:ascii="仿宋" w:hAnsi="仿宋" w:eastAsia="仿宋"/>
          <w:sz w:val="32"/>
          <w:szCs w:val="32"/>
        </w:rPr>
      </w:pPr>
      <w:r>
        <w:rPr>
          <w:rFonts w:hint="eastAsia" w:ascii="仿宋" w:hAnsi="仿宋" w:eastAsia="仿宋"/>
          <w:b w:val="0"/>
          <w:bCs/>
          <w:sz w:val="32"/>
          <w:szCs w:val="32"/>
        </w:rPr>
        <w:t>一是开展多层次的平安创建活动。</w:t>
      </w:r>
      <w:r>
        <w:rPr>
          <w:rFonts w:hint="eastAsia" w:ascii="仿宋" w:hAnsi="仿宋" w:eastAsia="仿宋"/>
          <w:sz w:val="32"/>
          <w:szCs w:val="32"/>
        </w:rPr>
        <w:t>以平安建设为抓手，继续夯实基层基础工作，抓好八个基层平安创建层面，在维护社会面稳定、打击刑事治安发案等方面，充分发挥基层组织作用，以点带面，力争把我县建设成京畿平安示范区。</w:t>
      </w:r>
    </w:p>
    <w:p>
      <w:pPr>
        <w:spacing w:line="560" w:lineRule="exact"/>
        <w:ind w:firstLine="560"/>
        <w:rPr>
          <w:rFonts w:ascii="仿宋" w:hAnsi="仿宋" w:eastAsia="仿宋"/>
          <w:sz w:val="32"/>
          <w:szCs w:val="32"/>
        </w:rPr>
      </w:pPr>
      <w:r>
        <w:rPr>
          <w:rFonts w:hint="eastAsia" w:ascii="仿宋" w:hAnsi="仿宋" w:eastAsia="仿宋"/>
          <w:sz w:val="32"/>
          <w:szCs w:val="32"/>
        </w:rPr>
        <w:t>绩效目标：通过社会管理综合治理，使社会丑恶现象大大减少，治安混乱的地区和单位的面貌彻底改观，治安秩序良好，群众有安全感。</w:t>
      </w:r>
    </w:p>
    <w:p>
      <w:pPr>
        <w:spacing w:line="560" w:lineRule="exact"/>
        <w:ind w:firstLine="560"/>
        <w:rPr>
          <w:rFonts w:ascii="仿宋" w:hAnsi="仿宋" w:eastAsia="仿宋"/>
          <w:sz w:val="32"/>
          <w:szCs w:val="32"/>
        </w:rPr>
      </w:pPr>
      <w:r>
        <w:rPr>
          <w:rFonts w:hint="eastAsia" w:ascii="仿宋" w:hAnsi="仿宋" w:eastAsia="仿宋"/>
          <w:b w:val="0"/>
          <w:bCs/>
          <w:sz w:val="32"/>
          <w:szCs w:val="32"/>
        </w:rPr>
        <w:t>二是构建“立体式”治安防控体系。</w:t>
      </w:r>
      <w:r>
        <w:rPr>
          <w:rFonts w:hint="eastAsia" w:ascii="仿宋" w:hAnsi="仿宋" w:eastAsia="仿宋"/>
          <w:sz w:val="32"/>
          <w:szCs w:val="32"/>
        </w:rPr>
        <w:t>学习借鉴先进地区科技防范建设的经验，完成我县科技防范建设的升级改造。加强专群结合的巡防组织建设，以民警、治安巡逻队、平安志愿者为防控工作主体，以“天网”覆盖工程为抓手，建立立体化防空格局，形成城乡一体、全面覆盖、内外结合、公密配套、技术兼容、资源共享的社会治安科技防范网络。</w:t>
      </w:r>
    </w:p>
    <w:p>
      <w:pPr>
        <w:spacing w:line="560" w:lineRule="exact"/>
        <w:ind w:firstLine="560"/>
        <w:rPr>
          <w:rFonts w:ascii="仿宋" w:hAnsi="仿宋" w:eastAsia="仿宋"/>
          <w:sz w:val="32"/>
          <w:szCs w:val="32"/>
        </w:rPr>
      </w:pPr>
      <w:r>
        <w:rPr>
          <w:rFonts w:hint="eastAsia" w:ascii="仿宋" w:hAnsi="仿宋" w:eastAsia="仿宋"/>
          <w:sz w:val="32"/>
          <w:szCs w:val="32"/>
        </w:rPr>
        <w:t>绩效目标：通过社会管理综合治理，使社会稳定，重大恶性案件和多发性案件得到控制并逐步有所下降，主要采取打击和防范并举，治标和治本兼顾，重在治本的治理方针。</w:t>
      </w:r>
    </w:p>
    <w:p>
      <w:pPr>
        <w:spacing w:line="560" w:lineRule="exact"/>
        <w:ind w:firstLine="560"/>
        <w:rPr>
          <w:rFonts w:ascii="仿宋" w:hAnsi="仿宋" w:eastAsia="仿宋"/>
          <w:sz w:val="32"/>
          <w:szCs w:val="32"/>
        </w:rPr>
      </w:pPr>
      <w:r>
        <w:rPr>
          <w:rFonts w:hint="eastAsia" w:ascii="仿宋" w:hAnsi="仿宋" w:eastAsia="仿宋"/>
          <w:b w:val="0"/>
          <w:bCs/>
          <w:sz w:val="32"/>
          <w:szCs w:val="32"/>
        </w:rPr>
        <w:t>三是完善调解组织建设。</w:t>
      </w:r>
      <w:r>
        <w:rPr>
          <w:rFonts w:hint="eastAsia" w:ascii="仿宋" w:hAnsi="仿宋" w:eastAsia="仿宋"/>
          <w:sz w:val="32"/>
          <w:szCs w:val="32"/>
        </w:rPr>
        <w:t>进一步加强</w:t>
      </w:r>
      <w:r>
        <w:rPr>
          <w:rFonts w:ascii="仿宋" w:hAnsi="仿宋" w:eastAsia="仿宋"/>
          <w:sz w:val="32"/>
          <w:szCs w:val="32"/>
        </w:rPr>
        <w:t>9</w:t>
      </w:r>
      <w:r>
        <w:rPr>
          <w:rFonts w:hint="eastAsia" w:ascii="仿宋" w:hAnsi="仿宋" w:eastAsia="仿宋"/>
          <w:sz w:val="32"/>
          <w:szCs w:val="32"/>
        </w:rPr>
        <w:t>个行业性、专业性调解组织建设（交通事故、环保、物业管理、征地拆迁、食品药品安全、消费者权益、医疗卫生、劳动保障、保险），招募拥有专业技术的调解力量，组建人才库，最大限度的发动社会力量参与调解。</w:t>
      </w:r>
    </w:p>
    <w:p>
      <w:pPr>
        <w:spacing w:line="560" w:lineRule="exact"/>
        <w:ind w:firstLine="560"/>
        <w:rPr>
          <w:rFonts w:ascii="仿宋" w:hAnsi="仿宋" w:eastAsia="仿宋"/>
          <w:sz w:val="32"/>
          <w:szCs w:val="32"/>
        </w:rPr>
      </w:pPr>
      <w:r>
        <w:rPr>
          <w:rFonts w:hint="eastAsia" w:ascii="仿宋" w:hAnsi="仿宋" w:eastAsia="仿宋"/>
          <w:sz w:val="32"/>
          <w:szCs w:val="32"/>
        </w:rPr>
        <w:t>绩效目标：通过社会管理综合治理，使社会治安秩序良好，群众有安全感。</w:t>
      </w:r>
    </w:p>
    <w:p>
      <w:pPr>
        <w:spacing w:line="560" w:lineRule="exact"/>
        <w:ind w:firstLine="560"/>
        <w:rPr>
          <w:rFonts w:ascii="仿宋" w:hAnsi="仿宋" w:eastAsia="仿宋"/>
          <w:sz w:val="32"/>
          <w:szCs w:val="32"/>
        </w:rPr>
      </w:pPr>
      <w:r>
        <w:rPr>
          <w:rFonts w:hint="eastAsia" w:ascii="仿宋" w:hAnsi="仿宋" w:eastAsia="仿宋"/>
          <w:b w:val="0"/>
          <w:bCs/>
          <w:sz w:val="32"/>
          <w:szCs w:val="32"/>
        </w:rPr>
        <w:t>四是加强法治服务指导站建设。</w:t>
      </w:r>
      <w:r>
        <w:rPr>
          <w:rFonts w:hint="eastAsia" w:ascii="仿宋" w:hAnsi="仿宋" w:eastAsia="仿宋"/>
          <w:sz w:val="32"/>
          <w:szCs w:val="32"/>
        </w:rPr>
        <w:t>让拥有法律专业知识的公检法工作人员和律师进村，让包村干部入村，依托法治建设服务指导站平台，帮助群众解决生产生活中遇到的法律问题，为村（居）集体组织、其他组织提供法律咨询，帮助修订完善村规民约、合同、协议，指导和参与“民主法治村（居）”建设和依法治村（居）工作，定期开设法制讲座、开展普法教育</w:t>
      </w:r>
    </w:p>
    <w:p>
      <w:pPr>
        <w:spacing w:line="560" w:lineRule="exact"/>
        <w:ind w:firstLine="560"/>
        <w:rPr>
          <w:rFonts w:ascii="仿宋" w:hAnsi="仿宋" w:eastAsia="仿宋"/>
          <w:sz w:val="32"/>
          <w:szCs w:val="32"/>
        </w:rPr>
      </w:pPr>
      <w:r>
        <w:rPr>
          <w:rFonts w:hint="eastAsia" w:ascii="仿宋" w:hAnsi="仿宋" w:eastAsia="仿宋"/>
          <w:sz w:val="32"/>
          <w:szCs w:val="32"/>
        </w:rPr>
        <w:t>绩效目标：通过社会管理综合治理，使社会稳定，重大恶性案件和多发性案件得到控制并逐步有所下降，社会丑恶现象大大减少，治安混乱的地区和单位的面貌彻底改观，治安秩序良好，群众有安全感。</w:t>
      </w:r>
    </w:p>
    <w:p>
      <w:pPr>
        <w:spacing w:line="560" w:lineRule="exact"/>
        <w:ind w:firstLine="560"/>
        <w:rPr>
          <w:rFonts w:ascii="仿宋" w:hAnsi="仿宋" w:eastAsia="仿宋"/>
          <w:b w:val="0"/>
          <w:bCs/>
          <w:sz w:val="32"/>
          <w:szCs w:val="32"/>
        </w:rPr>
      </w:pPr>
      <w:r>
        <w:rPr>
          <w:rFonts w:hint="eastAsia" w:ascii="仿宋" w:hAnsi="仿宋" w:eastAsia="仿宋"/>
          <w:b w:val="0"/>
          <w:bCs/>
          <w:sz w:val="32"/>
          <w:szCs w:val="32"/>
        </w:rPr>
        <w:t>（三）抓队伍建设，提升政法队伍整体素质绩效目标情况。</w:t>
      </w:r>
    </w:p>
    <w:p>
      <w:pPr>
        <w:spacing w:line="560" w:lineRule="exact"/>
        <w:ind w:firstLine="560"/>
        <w:rPr>
          <w:rFonts w:ascii="仿宋" w:hAnsi="仿宋" w:eastAsia="仿宋"/>
          <w:sz w:val="32"/>
          <w:szCs w:val="32"/>
        </w:rPr>
      </w:pPr>
      <w:r>
        <w:rPr>
          <w:rFonts w:hint="eastAsia" w:ascii="仿宋" w:hAnsi="仿宋" w:eastAsia="仿宋"/>
          <w:b w:val="0"/>
          <w:bCs/>
          <w:sz w:val="32"/>
          <w:szCs w:val="32"/>
        </w:rPr>
        <w:t>一是加强执法规范化建设，强化全局意识和系统思维。</w:t>
      </w:r>
      <w:r>
        <w:rPr>
          <w:rFonts w:hint="eastAsia" w:ascii="仿宋" w:hAnsi="仿宋" w:eastAsia="仿宋"/>
          <w:sz w:val="32"/>
          <w:szCs w:val="32"/>
        </w:rPr>
        <w:t>克服就案办案、孤立办案倾向，规范干警执法行为，提高案件质量，从源头解决涉法涉诉信访问题。坚决杜绝因执法过错引发涉法涉诉信访案件，一旦引起新发案件，一律实行责任倒查。</w:t>
      </w:r>
    </w:p>
    <w:p>
      <w:pPr>
        <w:spacing w:line="560" w:lineRule="exact"/>
        <w:ind w:firstLine="560"/>
        <w:rPr>
          <w:rFonts w:ascii="仿宋" w:hAnsi="仿宋" w:eastAsia="仿宋"/>
          <w:sz w:val="32"/>
          <w:szCs w:val="32"/>
        </w:rPr>
      </w:pPr>
      <w:r>
        <w:rPr>
          <w:rFonts w:hint="eastAsia" w:ascii="仿宋" w:hAnsi="仿宋" w:eastAsia="仿宋"/>
          <w:sz w:val="32"/>
          <w:szCs w:val="32"/>
        </w:rPr>
        <w:t>绩效目标：依法督导重特大案件的办理，协调督导有争议的重大、疑难案件的办理，负责涉法涉诉信访工作。</w:t>
      </w:r>
    </w:p>
    <w:p>
      <w:pPr>
        <w:spacing w:line="560" w:lineRule="exact"/>
        <w:ind w:firstLine="560"/>
        <w:rPr>
          <w:rFonts w:ascii="仿宋" w:hAnsi="仿宋" w:eastAsia="仿宋"/>
          <w:sz w:val="32"/>
          <w:szCs w:val="32"/>
        </w:rPr>
      </w:pPr>
      <w:r>
        <w:rPr>
          <w:rFonts w:hint="eastAsia" w:ascii="仿宋" w:hAnsi="仿宋" w:eastAsia="仿宋"/>
          <w:b w:val="0"/>
          <w:bCs/>
          <w:sz w:val="32"/>
          <w:szCs w:val="32"/>
        </w:rPr>
        <w:t>二是加强职业化建设，提升维护公平正义能力。</w:t>
      </w:r>
      <w:r>
        <w:rPr>
          <w:rFonts w:hint="eastAsia" w:ascii="仿宋" w:hAnsi="仿宋" w:eastAsia="仿宋"/>
          <w:sz w:val="32"/>
          <w:szCs w:val="32"/>
        </w:rPr>
        <w:t>坚持政治素质和业务素质一起抓，结合当前开展的解放思想大讨论活动，教育政法干警做“文武兼备”的全才。将业务培训工作纳入整个政法综治工作规划，认真抓好岗位练兵、技能比武、庭审观摩等多种形式的业务培训。以转变观念、提高素质为目标，打造一支政治强、业务精、纪律严、作风正的政法队伍。</w:t>
      </w:r>
    </w:p>
    <w:p>
      <w:pPr>
        <w:spacing w:line="560" w:lineRule="exact"/>
        <w:ind w:firstLine="560"/>
        <w:rPr>
          <w:rFonts w:ascii="仿宋" w:hAnsi="仿宋" w:eastAsia="仿宋"/>
          <w:sz w:val="32"/>
          <w:szCs w:val="32"/>
        </w:rPr>
      </w:pPr>
      <w:r>
        <w:rPr>
          <w:rFonts w:hint="eastAsia" w:ascii="仿宋" w:hAnsi="仿宋" w:eastAsia="仿宋"/>
          <w:sz w:val="32"/>
          <w:szCs w:val="32"/>
        </w:rPr>
        <w:t>绩效目标：贯彻落实中央、省、市三级政法工作任务，及时部署、贯彻落实全市政法工作各项任务。定期进行政治理论学习和专项业务培训，以切实培养出一支一专多能的复合型政法干警队伍。</w:t>
      </w:r>
    </w:p>
    <w:p>
      <w:pPr>
        <w:spacing w:line="560" w:lineRule="exact"/>
        <w:ind w:firstLine="560"/>
        <w:rPr>
          <w:rFonts w:ascii="仿宋" w:hAnsi="仿宋" w:eastAsia="仿宋"/>
          <w:sz w:val="32"/>
          <w:szCs w:val="32"/>
        </w:rPr>
      </w:pPr>
      <w:r>
        <w:rPr>
          <w:rFonts w:hint="eastAsia" w:ascii="仿宋" w:hAnsi="仿宋" w:eastAsia="仿宋"/>
          <w:b w:val="0"/>
          <w:bCs/>
          <w:sz w:val="32"/>
          <w:szCs w:val="32"/>
        </w:rPr>
        <w:t>三是强化廉洁从政、公正执法意识，提升拒腐防变能力。</w:t>
      </w:r>
      <w:r>
        <w:rPr>
          <w:rFonts w:hint="eastAsia" w:ascii="仿宋" w:hAnsi="仿宋" w:eastAsia="仿宋"/>
          <w:sz w:val="32"/>
          <w:szCs w:val="32"/>
        </w:rPr>
        <w:t>采取分析典型案例、观看教育片等形式，加强干警廉洁从政教育，增强公正、廉洁执法的自觉性。严格落实中央八项规定</w:t>
      </w:r>
      <w:bookmarkStart w:id="2" w:name="_GoBack"/>
      <w:bookmarkEnd w:id="2"/>
      <w:r>
        <w:rPr>
          <w:rFonts w:hint="eastAsia" w:ascii="仿宋" w:hAnsi="仿宋" w:eastAsia="仿宋"/>
          <w:sz w:val="32"/>
          <w:szCs w:val="32"/>
        </w:rPr>
        <w:t>等要求，充分发挥各单位的政治部、纪检监察职能作用，采取明察暗访等方式，认真自查自纠，搞好工作整改。对以权谋私、徇私枉法的反面典型，坚决严肃处理，绝不姑息迁就。</w:t>
      </w:r>
    </w:p>
    <w:p>
      <w:pPr>
        <w:spacing w:line="560" w:lineRule="exact"/>
        <w:ind w:firstLine="560"/>
        <w:rPr>
          <w:rFonts w:ascii="仿宋" w:hAnsi="仿宋" w:eastAsia="仿宋"/>
          <w:sz w:val="32"/>
          <w:szCs w:val="32"/>
        </w:rPr>
      </w:pPr>
      <w:r>
        <w:rPr>
          <w:rFonts w:hint="eastAsia" w:ascii="仿宋" w:hAnsi="仿宋" w:eastAsia="仿宋"/>
          <w:sz w:val="32"/>
          <w:szCs w:val="32"/>
        </w:rPr>
        <w:t>绩效目标：充分利用内部信息渠道和外部各类新闻媒体开展工作。传达中、省政法会议精神，结合我市实际做好工作，总结过来的成功做法，提出今后的努力方向，部署下一年工作任务。贯彻落实中央、省、市三级政法工作任务，及时部署、贯彻落实全市政法工作各项任务。定期进行政治理论学习和专项业务培训，以切实培养出一支一专多能的复合型政法干警队伍。</w:t>
      </w:r>
    </w:p>
    <w:p>
      <w:pPr>
        <w:ind w:firstLine="643" w:firstLineChars="200"/>
        <w:jc w:val="left"/>
        <w:rPr>
          <w:rFonts w:hint="eastAsia" w:ascii="楷体" w:hAnsi="楷体" w:eastAsia="楷体" w:cs="楷体"/>
          <w:b/>
          <w:sz w:val="32"/>
          <w:szCs w:val="32"/>
        </w:rPr>
      </w:pPr>
      <w:r>
        <w:rPr>
          <w:rFonts w:hint="eastAsia" w:ascii="楷体" w:hAnsi="楷体" w:eastAsia="楷体" w:cs="楷体"/>
          <w:b/>
          <w:sz w:val="32"/>
          <w:szCs w:val="32"/>
        </w:rPr>
        <w:t>部门职责及工作活动绩效目标指标：</w:t>
      </w:r>
    </w:p>
    <w:p>
      <w:pPr>
        <w:ind w:firstLine="643" w:firstLineChars="200"/>
        <w:jc w:val="left"/>
        <w:rPr>
          <w:rFonts w:hint="eastAsia" w:ascii="楷体" w:hAnsi="楷体" w:eastAsia="楷体" w:cs="楷体"/>
          <w:b/>
          <w:sz w:val="32"/>
          <w:szCs w:val="32"/>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 w:val="18"/>
                <w:szCs w:val="18"/>
              </w:rPr>
            </w:pPr>
            <w:r>
              <w:rPr>
                <w:rFonts w:hint="eastAsia" w:ascii="仿宋" w:hAnsi="仿宋" w:eastAsia="仿宋" w:cs="宋体"/>
                <w:sz w:val="22"/>
              </w:rPr>
              <w:t>廊坊市中共大厂回族自治县委政法委员会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职责活动</w:t>
            </w:r>
          </w:p>
        </w:tc>
        <w:tc>
          <w:tcPr>
            <w:tcW w:w="12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年度预算数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内容描述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绩效目标</w:t>
            </w:r>
          </w:p>
        </w:tc>
        <w:tc>
          <w:tcPr>
            <w:tcW w:w="1417"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绩效指标</w:t>
            </w:r>
          </w:p>
        </w:tc>
        <w:tc>
          <w:tcPr>
            <w:tcW w:w="2948" w:type="dxa"/>
            <w:gridSpan w:val="4"/>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sz w:val="18"/>
                <w:szCs w:val="18"/>
              </w:rPr>
            </w:pPr>
          </w:p>
        </w:tc>
        <w:tc>
          <w:tcPr>
            <w:tcW w:w="12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1417" w:type="dxa"/>
            <w:vMerge w:val="continue"/>
            <w:vAlign w:val="center"/>
          </w:tcPr>
          <w:p>
            <w:pPr>
              <w:spacing w:line="300" w:lineRule="exact"/>
              <w:jc w:val="left"/>
              <w:outlineLvl w:val="0"/>
              <w:rPr>
                <w:rFonts w:ascii="Times New Roman" w:hAnsi="Times New Roman"/>
                <w:sz w:val="18"/>
                <w:szCs w:val="18"/>
              </w:rPr>
            </w:pP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优</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良</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中</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sz w:val="22"/>
              </w:rPr>
            </w:pPr>
            <w:r>
              <w:rPr>
                <w:rFonts w:hint="eastAsia" w:ascii="仿宋" w:hAnsi="仿宋" w:eastAsia="仿宋" w:cs="宋体"/>
                <w:b/>
                <w:sz w:val="22"/>
              </w:rPr>
              <w:t>推进平安大厂建设</w:t>
            </w:r>
          </w:p>
        </w:tc>
        <w:tc>
          <w:tcPr>
            <w:tcW w:w="1276" w:type="dxa"/>
            <w:vAlign w:val="center"/>
          </w:tcPr>
          <w:p>
            <w:pPr>
              <w:spacing w:line="300" w:lineRule="exact"/>
              <w:jc w:val="left"/>
              <w:rPr>
                <w:rFonts w:ascii="仿宋" w:hAnsi="仿宋" w:eastAsia="仿宋"/>
                <w:sz w:val="22"/>
              </w:rPr>
            </w:pPr>
            <w:r>
              <w:rPr>
                <w:rFonts w:ascii="仿宋" w:hAnsi="仿宋" w:eastAsia="仿宋"/>
                <w:sz w:val="22"/>
              </w:rPr>
              <w:t>279.46</w:t>
            </w:r>
          </w:p>
        </w:tc>
        <w:tc>
          <w:tcPr>
            <w:tcW w:w="2976" w:type="dxa"/>
            <w:vAlign w:val="center"/>
          </w:tcPr>
          <w:p>
            <w:pPr>
              <w:spacing w:line="300" w:lineRule="exact"/>
              <w:jc w:val="left"/>
              <w:rPr>
                <w:rFonts w:ascii="仿宋" w:hAnsi="仿宋" w:eastAsia="仿宋"/>
                <w:sz w:val="22"/>
              </w:rPr>
            </w:pPr>
            <w:r>
              <w:rPr>
                <w:rFonts w:hint="eastAsia" w:ascii="仿宋" w:hAnsi="仿宋" w:eastAsia="仿宋" w:cs="宋体"/>
                <w:sz w:val="22"/>
              </w:rPr>
              <w:t>领导、组织、指导全市政法队伍建设工作；</w:t>
            </w:r>
          </w:p>
        </w:tc>
        <w:tc>
          <w:tcPr>
            <w:tcW w:w="2976" w:type="dxa"/>
            <w:vAlign w:val="center"/>
          </w:tcPr>
          <w:p>
            <w:pPr>
              <w:spacing w:line="300" w:lineRule="exact"/>
              <w:jc w:val="left"/>
              <w:rPr>
                <w:rFonts w:ascii="仿宋" w:hAnsi="仿宋" w:eastAsia="仿宋"/>
                <w:sz w:val="22"/>
              </w:rPr>
            </w:pPr>
            <w:r>
              <w:rPr>
                <w:rFonts w:hint="eastAsia" w:ascii="仿宋" w:hAnsi="仿宋" w:eastAsia="仿宋" w:cs="宋体"/>
                <w:sz w:val="22"/>
              </w:rPr>
              <w:t>研究加强政法队伍建设；承办政法系统考察、考核、任免、审查备案，办理任免报批手续；负责警衔、检察官、法官等级的评定和出国材料的审核；负责全市政法系统的思想政治教育和政法系统宣传工作、教育培训工作；组织推动全市政法队伍的廉政建设和纪律作风建设；组织机关党建活动工作；评选因公致残特困干警工作顺利开展；政法干警因公负伤和牺牲人员的保障工作；加强政法信息化保障工作；加强我市法学会建设。</w:t>
            </w:r>
          </w:p>
        </w:tc>
        <w:tc>
          <w:tcPr>
            <w:tcW w:w="1417" w:type="dxa"/>
            <w:vAlign w:val="center"/>
          </w:tcPr>
          <w:p>
            <w:pPr>
              <w:spacing w:line="300" w:lineRule="exact"/>
              <w:jc w:val="left"/>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c>
          <w:tcPr>
            <w:tcW w:w="737" w:type="dxa"/>
            <w:vAlign w:val="center"/>
          </w:tcPr>
          <w:p>
            <w:pPr>
              <w:spacing w:line="300" w:lineRule="exact"/>
              <w:jc w:val="center"/>
              <w:rPr>
                <w:rFonts w:ascii="仿宋" w:hAnsi="仿宋"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sz w:val="22"/>
              </w:rPr>
            </w:pPr>
            <w:r>
              <w:rPr>
                <w:rFonts w:hint="eastAsia" w:ascii="仿宋" w:hAnsi="仿宋" w:eastAsia="仿宋" w:cs="宋体"/>
                <w:b/>
                <w:sz w:val="22"/>
              </w:rPr>
              <w:t>全县政法队伍建设</w:t>
            </w:r>
          </w:p>
        </w:tc>
        <w:tc>
          <w:tcPr>
            <w:tcW w:w="1276" w:type="dxa"/>
            <w:vMerge w:val="restart"/>
            <w:vAlign w:val="center"/>
          </w:tcPr>
          <w:p>
            <w:pPr>
              <w:spacing w:line="300" w:lineRule="exact"/>
              <w:jc w:val="left"/>
              <w:rPr>
                <w:rFonts w:ascii="仿宋" w:hAnsi="仿宋" w:eastAsia="仿宋"/>
                <w:sz w:val="22"/>
              </w:rPr>
            </w:pPr>
            <w:r>
              <w:rPr>
                <w:rFonts w:ascii="仿宋" w:hAnsi="仿宋" w:eastAsia="仿宋"/>
                <w:sz w:val="22"/>
              </w:rPr>
              <w:t>20.6</w:t>
            </w:r>
          </w:p>
        </w:tc>
        <w:tc>
          <w:tcPr>
            <w:tcW w:w="2976" w:type="dxa"/>
            <w:vMerge w:val="restart"/>
            <w:vAlign w:val="center"/>
          </w:tcPr>
          <w:p>
            <w:pPr>
              <w:spacing w:line="300" w:lineRule="exact"/>
              <w:jc w:val="left"/>
              <w:rPr>
                <w:rFonts w:ascii="仿宋" w:hAnsi="仿宋" w:eastAsia="仿宋"/>
                <w:sz w:val="22"/>
              </w:rPr>
            </w:pPr>
            <w:r>
              <w:rPr>
                <w:rFonts w:hint="eastAsia" w:ascii="仿宋" w:hAnsi="仿宋" w:eastAsia="仿宋" w:cs="宋体"/>
                <w:sz w:val="22"/>
              </w:rPr>
              <w:t>指导全县政法系统的思想政治教育、业务培训和宣传工作，承办政法系统的考察、考核、任免工作，负责政法系统表彰奖励工作，协调督导违法违纪案件的查处工作。加强政法信息化保障工作，实现政法工作信息化，为政法机关信息化建设打下坚实基础。</w:t>
            </w:r>
          </w:p>
        </w:tc>
        <w:tc>
          <w:tcPr>
            <w:tcW w:w="2976" w:type="dxa"/>
            <w:vMerge w:val="restart"/>
            <w:vAlign w:val="center"/>
          </w:tcPr>
          <w:p>
            <w:pPr>
              <w:spacing w:line="300" w:lineRule="exact"/>
              <w:jc w:val="left"/>
              <w:rPr>
                <w:rFonts w:ascii="仿宋" w:hAnsi="仿宋" w:eastAsia="仿宋"/>
                <w:sz w:val="22"/>
              </w:rPr>
            </w:pPr>
            <w:r>
              <w:rPr>
                <w:rFonts w:hint="eastAsia" w:ascii="仿宋" w:hAnsi="仿宋" w:eastAsia="仿宋" w:cs="宋体"/>
                <w:sz w:val="22"/>
              </w:rPr>
              <w:t>涉密</w:t>
            </w:r>
          </w:p>
        </w:tc>
        <w:tc>
          <w:tcPr>
            <w:tcW w:w="1417" w:type="dxa"/>
            <w:vAlign w:val="center"/>
          </w:tcPr>
          <w:p>
            <w:pPr>
              <w:spacing w:line="300" w:lineRule="exact"/>
              <w:jc w:val="left"/>
              <w:rPr>
                <w:rFonts w:ascii="仿宋" w:hAnsi="仿宋" w:eastAsia="仿宋"/>
                <w:sz w:val="22"/>
              </w:rPr>
            </w:pPr>
            <w:r>
              <w:rPr>
                <w:rFonts w:hint="eastAsia" w:ascii="仿宋" w:hAnsi="仿宋" w:eastAsia="仿宋" w:cs="宋体"/>
                <w:sz w:val="22"/>
              </w:rPr>
              <w:t>政法干警因公负伤和牺牲人身保险</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1417" w:type="dxa"/>
            <w:vAlign w:val="center"/>
          </w:tcPr>
          <w:p>
            <w:pPr>
              <w:spacing w:line="300" w:lineRule="exact"/>
              <w:jc w:val="left"/>
              <w:rPr>
                <w:rFonts w:ascii="仿宋" w:hAnsi="仿宋" w:eastAsia="仿宋" w:cs="宋体"/>
                <w:sz w:val="22"/>
              </w:rPr>
            </w:pPr>
            <w:r>
              <w:rPr>
                <w:rFonts w:hint="eastAsia" w:ascii="仿宋" w:hAnsi="仿宋" w:eastAsia="仿宋" w:cs="宋体"/>
                <w:sz w:val="22"/>
              </w:rPr>
              <w:t>政法工作宣传业务</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90%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1417" w:type="dxa"/>
          </w:tcPr>
          <w:p>
            <w:pPr>
              <w:rPr>
                <w:rFonts w:ascii="仿宋" w:hAnsi="仿宋" w:eastAsia="仿宋"/>
                <w:sz w:val="22"/>
              </w:rPr>
            </w:pPr>
            <w:r>
              <w:rPr>
                <w:rFonts w:hint="eastAsia" w:ascii="仿宋" w:hAnsi="仿宋" w:eastAsia="仿宋" w:cs="宋体"/>
                <w:sz w:val="22"/>
              </w:rPr>
              <w:t>涉密</w:t>
            </w:r>
          </w:p>
        </w:tc>
        <w:tc>
          <w:tcPr>
            <w:tcW w:w="737" w:type="dxa"/>
          </w:tcPr>
          <w:p>
            <w:pPr>
              <w:rPr>
                <w:rFonts w:ascii="仿宋" w:hAnsi="仿宋" w:eastAsia="仿宋"/>
                <w:sz w:val="22"/>
              </w:rPr>
            </w:pPr>
            <w:r>
              <w:rPr>
                <w:rFonts w:hint="eastAsia" w:ascii="仿宋" w:hAnsi="仿宋" w:eastAsia="仿宋" w:cs="宋体"/>
                <w:sz w:val="22"/>
              </w:rPr>
              <w:t>涉密</w:t>
            </w:r>
          </w:p>
        </w:tc>
        <w:tc>
          <w:tcPr>
            <w:tcW w:w="737" w:type="dxa"/>
          </w:tcPr>
          <w:p>
            <w:pPr>
              <w:rPr>
                <w:rFonts w:ascii="仿宋" w:hAnsi="仿宋" w:eastAsia="仿宋"/>
                <w:sz w:val="22"/>
              </w:rPr>
            </w:pPr>
            <w:r>
              <w:rPr>
                <w:rFonts w:hint="eastAsia" w:ascii="仿宋" w:hAnsi="仿宋" w:eastAsia="仿宋" w:cs="宋体"/>
                <w:sz w:val="22"/>
              </w:rPr>
              <w:t>涉密</w:t>
            </w:r>
          </w:p>
        </w:tc>
        <w:tc>
          <w:tcPr>
            <w:tcW w:w="737" w:type="dxa"/>
          </w:tcPr>
          <w:p>
            <w:pPr>
              <w:rPr>
                <w:rFonts w:ascii="仿宋" w:hAnsi="仿宋" w:eastAsia="仿宋"/>
                <w:sz w:val="22"/>
              </w:rPr>
            </w:pPr>
            <w:r>
              <w:rPr>
                <w:rFonts w:hint="eastAsia" w:ascii="仿宋" w:hAnsi="仿宋" w:eastAsia="仿宋" w:cs="宋体"/>
                <w:sz w:val="22"/>
              </w:rPr>
              <w:t>涉密</w:t>
            </w:r>
          </w:p>
        </w:tc>
        <w:tc>
          <w:tcPr>
            <w:tcW w:w="737" w:type="dxa"/>
          </w:tcPr>
          <w:p>
            <w:pPr>
              <w:rPr>
                <w:rFonts w:ascii="仿宋" w:hAnsi="仿宋" w:eastAsia="仿宋"/>
                <w:sz w:val="22"/>
              </w:rPr>
            </w:pPr>
            <w:r>
              <w:rPr>
                <w:rFonts w:hint="eastAsia" w:ascii="仿宋" w:hAnsi="仿宋" w:eastAsia="仿宋" w:cs="宋体"/>
                <w:sz w:val="22"/>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sz w:val="22"/>
              </w:rPr>
            </w:pPr>
            <w:r>
              <w:rPr>
                <w:rFonts w:hint="eastAsia" w:ascii="仿宋" w:hAnsi="仿宋" w:eastAsia="仿宋" w:cs="宋体"/>
                <w:b/>
                <w:sz w:val="22"/>
              </w:rPr>
              <w:t>维护稳定工作</w:t>
            </w:r>
          </w:p>
        </w:tc>
        <w:tc>
          <w:tcPr>
            <w:tcW w:w="1276" w:type="dxa"/>
            <w:vAlign w:val="center"/>
          </w:tcPr>
          <w:p>
            <w:pPr>
              <w:spacing w:line="300" w:lineRule="exact"/>
              <w:jc w:val="left"/>
              <w:rPr>
                <w:rFonts w:ascii="仿宋" w:hAnsi="仿宋" w:eastAsia="仿宋"/>
                <w:sz w:val="22"/>
              </w:rPr>
            </w:pPr>
            <w:r>
              <w:rPr>
                <w:rFonts w:ascii="仿宋" w:hAnsi="仿宋" w:eastAsia="仿宋"/>
                <w:sz w:val="22"/>
              </w:rPr>
              <w:t>15.00</w:t>
            </w:r>
          </w:p>
        </w:tc>
        <w:tc>
          <w:tcPr>
            <w:tcW w:w="2976" w:type="dxa"/>
            <w:vAlign w:val="center"/>
          </w:tcPr>
          <w:p>
            <w:pPr>
              <w:spacing w:line="300" w:lineRule="exact"/>
              <w:jc w:val="left"/>
              <w:rPr>
                <w:rFonts w:ascii="仿宋" w:hAnsi="仿宋" w:eastAsia="仿宋"/>
                <w:sz w:val="22"/>
              </w:rPr>
            </w:pPr>
            <w:r>
              <w:rPr>
                <w:rFonts w:hint="eastAsia" w:ascii="仿宋" w:hAnsi="仿宋" w:eastAsia="仿宋" w:cs="宋体"/>
                <w:sz w:val="22"/>
              </w:rPr>
              <w:t>负责组织、协调、指导全县维护稳定工作，指导有关部门依法处置影响社会稳定的各种突发事件和群体性事件。落实流动人口服务管理措施；加大危险品监管检查和涉危案件的查处力度；加大公共安全管理力度。</w:t>
            </w:r>
          </w:p>
        </w:tc>
        <w:tc>
          <w:tcPr>
            <w:tcW w:w="2976" w:type="dxa"/>
            <w:vAlign w:val="center"/>
          </w:tcPr>
          <w:p>
            <w:pPr>
              <w:spacing w:line="300" w:lineRule="exact"/>
              <w:jc w:val="left"/>
              <w:rPr>
                <w:rFonts w:ascii="仿宋" w:hAnsi="仿宋" w:eastAsia="仿宋"/>
                <w:sz w:val="22"/>
              </w:rPr>
            </w:pPr>
            <w:r>
              <w:rPr>
                <w:rFonts w:hint="eastAsia" w:ascii="仿宋" w:hAnsi="仿宋" w:eastAsia="仿宋" w:cs="宋体"/>
                <w:sz w:val="22"/>
              </w:rPr>
              <w:t>预防减少不稳定因素的发生，有效化解不稳定隐患、群体性事件和突发事件，维护国家安全工作。</w:t>
            </w:r>
          </w:p>
        </w:tc>
        <w:tc>
          <w:tcPr>
            <w:tcW w:w="1417" w:type="dxa"/>
          </w:tcPr>
          <w:p>
            <w:pPr>
              <w:rPr>
                <w:rFonts w:ascii="仿宋" w:hAnsi="仿宋" w:eastAsia="仿宋" w:cs="宋体"/>
                <w:sz w:val="22"/>
              </w:rPr>
            </w:pPr>
            <w:r>
              <w:rPr>
                <w:rFonts w:hint="eastAsia" w:ascii="仿宋" w:hAnsi="仿宋" w:eastAsia="仿宋" w:cs="宋体"/>
                <w:sz w:val="22"/>
              </w:rPr>
              <w:t>安全保卫工作</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40%</w:t>
            </w:r>
          </w:p>
        </w:tc>
        <w:tc>
          <w:tcPr>
            <w:tcW w:w="737" w:type="dxa"/>
            <w:vAlign w:val="center"/>
          </w:tcPr>
          <w:p>
            <w:pPr>
              <w:spacing w:line="300" w:lineRule="exact"/>
              <w:jc w:val="center"/>
              <w:rPr>
                <w:rFonts w:ascii="仿宋" w:hAnsi="仿宋" w:eastAsia="仿宋"/>
                <w:sz w:val="22"/>
              </w:rPr>
            </w:pPr>
            <w:r>
              <w:rPr>
                <w:rFonts w:ascii="仿宋" w:hAnsi="仿宋" w:eastAsia="仿宋"/>
                <w:sz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b/>
                <w:sz w:val="22"/>
              </w:rPr>
            </w:pPr>
            <w:r>
              <w:rPr>
                <w:rFonts w:hint="eastAsia" w:ascii="仿宋" w:hAnsi="仿宋" w:eastAsia="仿宋" w:cs="宋体"/>
                <w:b/>
                <w:sz w:val="22"/>
              </w:rPr>
              <w:t>全县社会治安综合治理工作</w:t>
            </w:r>
          </w:p>
        </w:tc>
        <w:tc>
          <w:tcPr>
            <w:tcW w:w="1276" w:type="dxa"/>
            <w:vMerge w:val="restart"/>
            <w:vAlign w:val="center"/>
          </w:tcPr>
          <w:p>
            <w:pPr>
              <w:spacing w:line="300" w:lineRule="exact"/>
              <w:jc w:val="left"/>
              <w:rPr>
                <w:rFonts w:ascii="仿宋" w:hAnsi="仿宋" w:eastAsia="仿宋"/>
                <w:sz w:val="22"/>
              </w:rPr>
            </w:pPr>
            <w:r>
              <w:rPr>
                <w:rFonts w:ascii="仿宋" w:hAnsi="仿宋" w:eastAsia="仿宋"/>
                <w:sz w:val="22"/>
              </w:rPr>
              <w:t>217.86</w:t>
            </w:r>
          </w:p>
        </w:tc>
        <w:tc>
          <w:tcPr>
            <w:tcW w:w="2976" w:type="dxa"/>
            <w:vMerge w:val="restart"/>
            <w:vAlign w:val="center"/>
          </w:tcPr>
          <w:p>
            <w:pPr>
              <w:spacing w:line="300" w:lineRule="exact"/>
              <w:jc w:val="left"/>
              <w:rPr>
                <w:rFonts w:ascii="仿宋" w:hAnsi="仿宋" w:eastAsia="仿宋"/>
                <w:sz w:val="22"/>
              </w:rPr>
            </w:pPr>
            <w:r>
              <w:rPr>
                <w:rFonts w:hint="eastAsia" w:ascii="仿宋" w:hAnsi="仿宋" w:eastAsia="仿宋" w:cs="宋体"/>
                <w:sz w:val="22"/>
              </w:rPr>
              <w:t>负责调查研究流动人口和特殊人群服务管理工作；协调推动人口的动态管理体系、特殊人群社会关怀帮扶体系；协调指导预防和减少青少年违法犯罪工作；研究完善群众利益协调机制，推进矛盾纠纷排查预警、调解处置工作；推动开展基层平安创建活动；指导全县社会管理创新综合试点工作；进一步加强见义勇为工作宣传和表彰力度。</w:t>
            </w:r>
          </w:p>
        </w:tc>
        <w:tc>
          <w:tcPr>
            <w:tcW w:w="2976" w:type="dxa"/>
            <w:vMerge w:val="restart"/>
            <w:vAlign w:val="center"/>
          </w:tcPr>
          <w:p>
            <w:pPr>
              <w:spacing w:line="300" w:lineRule="exact"/>
              <w:jc w:val="left"/>
              <w:rPr>
                <w:rFonts w:ascii="仿宋" w:hAnsi="仿宋" w:eastAsia="仿宋"/>
                <w:sz w:val="22"/>
              </w:rPr>
            </w:pPr>
            <w:r>
              <w:rPr>
                <w:rFonts w:hint="eastAsia" w:ascii="仿宋" w:hAnsi="仿宋" w:eastAsia="仿宋" w:cs="宋体"/>
                <w:sz w:val="22"/>
              </w:rPr>
              <w:t>通过社会管理综合治理，使社会稳定，重大恶性案件和多发性案件得到控制并逐步有所下降，社会丑恶现象大大减少，治安混乱的地区和单位的面貌彻底改观，治安秩序良好，群众有安全感。社会治安综合治理主要采取打击和防范并举，治标和治本兼顾，重在治本的治理方针。</w:t>
            </w:r>
          </w:p>
        </w:tc>
        <w:tc>
          <w:tcPr>
            <w:tcW w:w="1417" w:type="dxa"/>
          </w:tcPr>
          <w:p>
            <w:pPr>
              <w:rPr>
                <w:rFonts w:ascii="仿宋" w:hAnsi="仿宋" w:eastAsia="仿宋" w:cs="宋体"/>
                <w:sz w:val="22"/>
              </w:rPr>
            </w:pPr>
            <w:r>
              <w:rPr>
                <w:rFonts w:hint="eastAsia" w:ascii="仿宋" w:hAnsi="仿宋" w:eastAsia="仿宋" w:cs="宋体"/>
                <w:sz w:val="22"/>
              </w:rPr>
              <w:t>政法信息化保障工作</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1417" w:type="dxa"/>
          </w:tcPr>
          <w:p>
            <w:pPr>
              <w:rPr>
                <w:rFonts w:ascii="仿宋" w:hAnsi="仿宋" w:eastAsia="仿宋" w:cs="宋体"/>
                <w:sz w:val="22"/>
              </w:rPr>
            </w:pPr>
            <w:r>
              <w:rPr>
                <w:rFonts w:hint="eastAsia" w:ascii="仿宋" w:hAnsi="仿宋" w:eastAsia="仿宋" w:cs="宋体"/>
                <w:sz w:val="22"/>
              </w:rPr>
              <w:t>见义勇为基金</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1417" w:type="dxa"/>
          </w:tcPr>
          <w:p>
            <w:pPr>
              <w:rPr>
                <w:rFonts w:ascii="仿宋" w:hAnsi="仿宋" w:eastAsia="仿宋" w:cs="宋体"/>
                <w:sz w:val="22"/>
              </w:rPr>
            </w:pPr>
            <w:r>
              <w:rPr>
                <w:rFonts w:hint="eastAsia" w:ascii="仿宋" w:hAnsi="仿宋" w:eastAsia="仿宋" w:cs="宋体"/>
                <w:sz w:val="22"/>
              </w:rPr>
              <w:t>铁路护路工作</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40%</w:t>
            </w:r>
          </w:p>
        </w:tc>
        <w:tc>
          <w:tcPr>
            <w:tcW w:w="737" w:type="dxa"/>
            <w:vAlign w:val="center"/>
          </w:tcPr>
          <w:p>
            <w:pPr>
              <w:spacing w:line="300" w:lineRule="exact"/>
              <w:jc w:val="center"/>
              <w:rPr>
                <w:rFonts w:ascii="仿宋" w:hAnsi="仿宋" w:eastAsia="仿宋"/>
                <w:sz w:val="22"/>
              </w:rPr>
            </w:pPr>
            <w:r>
              <w:rPr>
                <w:rFonts w:ascii="仿宋" w:hAnsi="仿宋" w:eastAsia="仿宋"/>
                <w:sz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b/>
                <w:sz w:val="22"/>
              </w:rPr>
            </w:pPr>
          </w:p>
        </w:tc>
        <w:tc>
          <w:tcPr>
            <w:tcW w:w="12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2976" w:type="dxa"/>
            <w:vMerge w:val="continue"/>
            <w:vAlign w:val="center"/>
          </w:tcPr>
          <w:p>
            <w:pPr>
              <w:spacing w:line="300" w:lineRule="exact"/>
              <w:jc w:val="left"/>
              <w:rPr>
                <w:rFonts w:ascii="仿宋" w:hAnsi="仿宋" w:eastAsia="仿宋"/>
                <w:sz w:val="22"/>
              </w:rPr>
            </w:pPr>
          </w:p>
        </w:tc>
        <w:tc>
          <w:tcPr>
            <w:tcW w:w="1417" w:type="dxa"/>
          </w:tcPr>
          <w:p>
            <w:pPr>
              <w:rPr>
                <w:rFonts w:ascii="仿宋" w:hAnsi="仿宋" w:eastAsia="仿宋" w:cs="宋体"/>
                <w:sz w:val="22"/>
              </w:rPr>
            </w:pPr>
            <w:r>
              <w:rPr>
                <w:rFonts w:hint="eastAsia" w:ascii="仿宋" w:hAnsi="仿宋" w:eastAsia="仿宋" w:cs="宋体"/>
                <w:sz w:val="22"/>
              </w:rPr>
              <w:t>全县社会治安综合治理工作</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40%</w:t>
            </w:r>
          </w:p>
        </w:tc>
        <w:tc>
          <w:tcPr>
            <w:tcW w:w="737" w:type="dxa"/>
            <w:vAlign w:val="center"/>
          </w:tcPr>
          <w:p>
            <w:pPr>
              <w:spacing w:line="300" w:lineRule="exact"/>
              <w:jc w:val="center"/>
              <w:rPr>
                <w:rFonts w:ascii="仿宋" w:hAnsi="仿宋" w:eastAsia="仿宋"/>
                <w:sz w:val="22"/>
              </w:rPr>
            </w:pPr>
            <w:r>
              <w:rPr>
                <w:rFonts w:ascii="仿宋" w:hAnsi="仿宋" w:eastAsia="仿宋"/>
                <w:sz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b/>
                <w:sz w:val="22"/>
              </w:rPr>
            </w:pPr>
            <w:r>
              <w:rPr>
                <w:rFonts w:hint="eastAsia" w:ascii="仿宋" w:hAnsi="仿宋" w:eastAsia="仿宋" w:cs="宋体"/>
                <w:b/>
                <w:sz w:val="22"/>
              </w:rPr>
              <w:t>　涉法涉诉工作</w:t>
            </w:r>
          </w:p>
        </w:tc>
        <w:tc>
          <w:tcPr>
            <w:tcW w:w="1276" w:type="dxa"/>
            <w:vAlign w:val="center"/>
          </w:tcPr>
          <w:p>
            <w:pPr>
              <w:spacing w:line="300" w:lineRule="exact"/>
              <w:jc w:val="left"/>
              <w:rPr>
                <w:rFonts w:ascii="仿宋" w:hAnsi="仿宋" w:eastAsia="仿宋" w:cs="宋体"/>
                <w:sz w:val="22"/>
              </w:rPr>
            </w:pPr>
            <w:r>
              <w:rPr>
                <w:rFonts w:ascii="仿宋" w:hAnsi="仿宋" w:eastAsia="仿宋"/>
                <w:sz w:val="22"/>
              </w:rPr>
              <w:t>13</w:t>
            </w:r>
            <w:r>
              <w:rPr>
                <w:rFonts w:hint="eastAsia" w:ascii="仿宋" w:hAnsi="仿宋" w:eastAsia="仿宋" w:cs="宋体"/>
                <w:sz w:val="22"/>
              </w:rPr>
              <w:t>．</w:t>
            </w:r>
            <w:r>
              <w:rPr>
                <w:rFonts w:ascii="仿宋" w:hAnsi="仿宋" w:eastAsia="仿宋" w:cs="宋体"/>
                <w:sz w:val="22"/>
              </w:rPr>
              <w:t>00</w:t>
            </w:r>
          </w:p>
        </w:tc>
        <w:tc>
          <w:tcPr>
            <w:tcW w:w="2976" w:type="dxa"/>
            <w:vAlign w:val="center"/>
          </w:tcPr>
          <w:p>
            <w:pPr>
              <w:spacing w:line="300" w:lineRule="exact"/>
              <w:jc w:val="left"/>
              <w:rPr>
                <w:rFonts w:ascii="仿宋" w:hAnsi="仿宋" w:eastAsia="仿宋"/>
                <w:sz w:val="22"/>
              </w:rPr>
            </w:pPr>
            <w:r>
              <w:rPr>
                <w:rFonts w:hint="eastAsia" w:ascii="仿宋" w:hAnsi="仿宋" w:eastAsia="仿宋" w:cs="宋体"/>
                <w:sz w:val="22"/>
              </w:rPr>
              <w:t>依法督导重特大案件的办理，协调督导有争议的重大、疑难案件的办理，负责涉法涉诉信访工作</w:t>
            </w:r>
            <w:r>
              <w:rPr>
                <w:rFonts w:ascii="仿宋" w:hAnsi="仿宋" w:eastAsia="仿宋"/>
                <w:sz w:val="22"/>
              </w:rPr>
              <w:t>;</w:t>
            </w:r>
            <w:r>
              <w:rPr>
                <w:rFonts w:hint="eastAsia" w:ascii="仿宋" w:hAnsi="仿宋" w:eastAsia="仿宋" w:cs="宋体"/>
                <w:sz w:val="22"/>
              </w:rPr>
              <w:t>负责国家司法救助对涉法涉诉信访案件当事人进行救助。</w:t>
            </w:r>
          </w:p>
        </w:tc>
        <w:tc>
          <w:tcPr>
            <w:tcW w:w="2976" w:type="dxa"/>
            <w:vAlign w:val="center"/>
          </w:tcPr>
          <w:p>
            <w:pPr>
              <w:spacing w:line="300" w:lineRule="exact"/>
              <w:jc w:val="left"/>
              <w:rPr>
                <w:rFonts w:ascii="仿宋" w:hAnsi="仿宋" w:eastAsia="仿宋"/>
                <w:sz w:val="22"/>
              </w:rPr>
            </w:pPr>
            <w:r>
              <w:rPr>
                <w:rFonts w:hint="eastAsia" w:ascii="仿宋" w:hAnsi="仿宋" w:eastAsia="仿宋" w:cs="宋体"/>
                <w:sz w:val="22"/>
              </w:rPr>
              <w:t>依法督导重特大案件的办理，协调督导有争议的重大、疑难案件的办理，负责涉法涉诉信访工作。</w:t>
            </w:r>
          </w:p>
        </w:tc>
        <w:tc>
          <w:tcPr>
            <w:tcW w:w="1417" w:type="dxa"/>
          </w:tcPr>
          <w:p>
            <w:pPr>
              <w:rPr>
                <w:rFonts w:ascii="仿宋" w:hAnsi="仿宋" w:eastAsia="仿宋" w:cs="宋体"/>
                <w:sz w:val="22"/>
              </w:rPr>
            </w:pPr>
            <w:r>
              <w:rPr>
                <w:rFonts w:hint="eastAsia" w:ascii="仿宋" w:hAnsi="仿宋" w:eastAsia="仿宋" w:cs="宋体"/>
                <w:sz w:val="22"/>
              </w:rPr>
              <w:t>司法救助</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40%</w:t>
            </w:r>
          </w:p>
        </w:tc>
        <w:tc>
          <w:tcPr>
            <w:tcW w:w="737" w:type="dxa"/>
            <w:vAlign w:val="center"/>
          </w:tcPr>
          <w:p>
            <w:pPr>
              <w:spacing w:line="300" w:lineRule="exact"/>
              <w:jc w:val="center"/>
              <w:rPr>
                <w:rFonts w:ascii="仿宋" w:hAnsi="仿宋" w:eastAsia="仿宋"/>
                <w:sz w:val="22"/>
              </w:rPr>
            </w:pPr>
            <w:r>
              <w:rPr>
                <w:rFonts w:ascii="仿宋" w:hAnsi="仿宋" w:eastAsia="仿宋"/>
                <w:sz w:val="22"/>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宋体"/>
                <w:b/>
                <w:sz w:val="22"/>
              </w:rPr>
            </w:pPr>
            <w:r>
              <w:rPr>
                <w:rFonts w:hint="eastAsia" w:ascii="仿宋" w:hAnsi="仿宋" w:eastAsia="仿宋" w:cs="宋体"/>
                <w:b/>
                <w:sz w:val="22"/>
              </w:rPr>
              <w:t>防范和处理邪教业务</w:t>
            </w:r>
          </w:p>
        </w:tc>
        <w:tc>
          <w:tcPr>
            <w:tcW w:w="1276" w:type="dxa"/>
            <w:vMerge w:val="restart"/>
            <w:vAlign w:val="center"/>
          </w:tcPr>
          <w:p>
            <w:pPr>
              <w:spacing w:line="300" w:lineRule="exact"/>
              <w:jc w:val="left"/>
              <w:rPr>
                <w:rFonts w:ascii="仿宋" w:hAnsi="仿宋" w:eastAsia="仿宋"/>
                <w:sz w:val="22"/>
              </w:rPr>
            </w:pPr>
            <w:r>
              <w:rPr>
                <w:rFonts w:ascii="仿宋" w:hAnsi="仿宋" w:eastAsia="仿宋"/>
                <w:sz w:val="22"/>
              </w:rPr>
              <w:t>13.00</w:t>
            </w:r>
          </w:p>
        </w:tc>
        <w:tc>
          <w:tcPr>
            <w:tcW w:w="2976" w:type="dxa"/>
            <w:vMerge w:val="restart"/>
            <w:vAlign w:val="center"/>
          </w:tcPr>
          <w:p>
            <w:pPr>
              <w:spacing w:line="300" w:lineRule="exact"/>
              <w:jc w:val="left"/>
              <w:rPr>
                <w:rFonts w:ascii="仿宋" w:hAnsi="仿宋" w:eastAsia="仿宋" w:cs="宋体"/>
                <w:sz w:val="22"/>
              </w:rPr>
            </w:pPr>
            <w:r>
              <w:rPr>
                <w:rFonts w:hint="eastAsia" w:ascii="仿宋" w:hAnsi="仿宋" w:eastAsia="仿宋" w:cs="宋体"/>
                <w:sz w:val="22"/>
              </w:rPr>
              <w:t>负责开展形式多样的反邪教宣传教育活动，不断巩固和占领反邪教宣传阵地。</w:t>
            </w:r>
          </w:p>
        </w:tc>
        <w:tc>
          <w:tcPr>
            <w:tcW w:w="2976" w:type="dxa"/>
            <w:vMerge w:val="restart"/>
            <w:vAlign w:val="center"/>
          </w:tcPr>
          <w:p>
            <w:pPr>
              <w:spacing w:line="300" w:lineRule="exact"/>
              <w:jc w:val="left"/>
              <w:rPr>
                <w:rFonts w:ascii="仿宋" w:hAnsi="仿宋" w:eastAsia="仿宋" w:cs="宋体"/>
                <w:sz w:val="22"/>
              </w:rPr>
            </w:pPr>
            <w:r>
              <w:rPr>
                <w:rFonts w:hint="eastAsia" w:ascii="仿宋" w:hAnsi="仿宋" w:eastAsia="仿宋" w:cs="宋体"/>
                <w:sz w:val="22"/>
              </w:rPr>
              <w:t>积极组织开展打击和防范各类非法邪教活动，严密监控非法活动动向，获取预警性信息，及时进行打击处理，遏制其发展反弹势头。</w:t>
            </w:r>
          </w:p>
        </w:tc>
        <w:tc>
          <w:tcPr>
            <w:tcW w:w="1417" w:type="dxa"/>
          </w:tcPr>
          <w:p>
            <w:pPr>
              <w:rPr>
                <w:rFonts w:ascii="仿宋" w:hAnsi="仿宋" w:eastAsia="仿宋" w:cs="宋体"/>
                <w:sz w:val="22"/>
              </w:rPr>
            </w:pPr>
            <w:r>
              <w:rPr>
                <w:rFonts w:hint="eastAsia" w:ascii="仿宋" w:hAnsi="仿宋" w:eastAsia="仿宋" w:cs="宋体"/>
                <w:sz w:val="22"/>
              </w:rPr>
              <w:t>反邪教宣传工作</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宋体" w:eastAsia="仿宋_GB2312" w:cs="宋体"/>
                <w:b/>
                <w:szCs w:val="21"/>
              </w:rPr>
            </w:pPr>
          </w:p>
        </w:tc>
        <w:tc>
          <w:tcPr>
            <w:tcW w:w="1276" w:type="dxa"/>
            <w:vMerge w:val="continue"/>
            <w:vAlign w:val="center"/>
          </w:tcPr>
          <w:p>
            <w:pPr>
              <w:spacing w:line="300" w:lineRule="exact"/>
              <w:jc w:val="left"/>
              <w:rPr>
                <w:rFonts w:ascii="仿宋_GB2312" w:hAnsi="Times New Roman" w:eastAsia="仿宋_GB2312"/>
                <w:szCs w:val="21"/>
              </w:rPr>
            </w:pPr>
          </w:p>
        </w:tc>
        <w:tc>
          <w:tcPr>
            <w:tcW w:w="2976" w:type="dxa"/>
            <w:vMerge w:val="continue"/>
            <w:vAlign w:val="center"/>
          </w:tcPr>
          <w:p>
            <w:pPr>
              <w:spacing w:line="300" w:lineRule="exact"/>
              <w:jc w:val="left"/>
              <w:rPr>
                <w:rFonts w:ascii="仿宋_GB2312" w:hAnsi="宋体" w:eastAsia="仿宋_GB2312" w:cs="宋体"/>
                <w:szCs w:val="21"/>
              </w:rPr>
            </w:pPr>
          </w:p>
        </w:tc>
        <w:tc>
          <w:tcPr>
            <w:tcW w:w="2976" w:type="dxa"/>
            <w:vMerge w:val="continue"/>
            <w:vAlign w:val="center"/>
          </w:tcPr>
          <w:p>
            <w:pPr>
              <w:spacing w:line="300" w:lineRule="exact"/>
              <w:jc w:val="left"/>
              <w:rPr>
                <w:rFonts w:ascii="仿宋_GB2312" w:hAnsi="宋体" w:eastAsia="仿宋_GB2312" w:cs="宋体"/>
                <w:szCs w:val="21"/>
              </w:rPr>
            </w:pPr>
          </w:p>
        </w:tc>
        <w:tc>
          <w:tcPr>
            <w:tcW w:w="1417" w:type="dxa"/>
          </w:tcPr>
          <w:p>
            <w:pPr>
              <w:rPr>
                <w:rFonts w:ascii="仿宋" w:hAnsi="仿宋" w:eastAsia="仿宋" w:cs="宋体"/>
                <w:sz w:val="22"/>
              </w:rPr>
            </w:pPr>
            <w:r>
              <w:rPr>
                <w:rFonts w:hint="eastAsia" w:ascii="仿宋" w:hAnsi="仿宋" w:eastAsia="仿宋" w:cs="宋体"/>
                <w:sz w:val="22"/>
              </w:rPr>
              <w:t>防范和处理邪教业务</w:t>
            </w:r>
          </w:p>
        </w:tc>
        <w:tc>
          <w:tcPr>
            <w:tcW w:w="737" w:type="dxa"/>
            <w:vAlign w:val="center"/>
          </w:tcPr>
          <w:p>
            <w:pPr>
              <w:spacing w:line="300" w:lineRule="exact"/>
              <w:jc w:val="center"/>
              <w:rPr>
                <w:rFonts w:ascii="仿宋" w:hAnsi="仿宋" w:eastAsia="仿宋"/>
                <w:sz w:val="22"/>
              </w:rPr>
            </w:pPr>
            <w:r>
              <w:rPr>
                <w:rFonts w:ascii="仿宋" w:hAnsi="仿宋" w:eastAsia="仿宋"/>
                <w:sz w:val="22"/>
              </w:rPr>
              <w:t>100%</w:t>
            </w:r>
          </w:p>
        </w:tc>
        <w:tc>
          <w:tcPr>
            <w:tcW w:w="737" w:type="dxa"/>
            <w:vAlign w:val="center"/>
          </w:tcPr>
          <w:p>
            <w:pPr>
              <w:spacing w:line="300" w:lineRule="exact"/>
              <w:jc w:val="center"/>
              <w:rPr>
                <w:rFonts w:ascii="仿宋" w:hAnsi="仿宋" w:eastAsia="仿宋"/>
                <w:sz w:val="22"/>
              </w:rPr>
            </w:pPr>
            <w:r>
              <w:rPr>
                <w:rFonts w:ascii="仿宋" w:hAnsi="仿宋" w:eastAsia="仿宋"/>
                <w:sz w:val="22"/>
              </w:rPr>
              <w:t>80%</w:t>
            </w:r>
          </w:p>
        </w:tc>
        <w:tc>
          <w:tcPr>
            <w:tcW w:w="737" w:type="dxa"/>
            <w:vAlign w:val="center"/>
          </w:tcPr>
          <w:p>
            <w:pPr>
              <w:spacing w:line="300" w:lineRule="exact"/>
              <w:jc w:val="center"/>
              <w:rPr>
                <w:rFonts w:ascii="仿宋" w:hAnsi="仿宋" w:eastAsia="仿宋"/>
                <w:sz w:val="22"/>
              </w:rPr>
            </w:pPr>
            <w:r>
              <w:rPr>
                <w:rFonts w:ascii="仿宋" w:hAnsi="仿宋" w:eastAsia="仿宋"/>
                <w:sz w:val="22"/>
              </w:rPr>
              <w:t>60%</w:t>
            </w:r>
          </w:p>
        </w:tc>
        <w:tc>
          <w:tcPr>
            <w:tcW w:w="737" w:type="dxa"/>
            <w:vAlign w:val="center"/>
          </w:tcPr>
          <w:p>
            <w:pPr>
              <w:spacing w:line="300" w:lineRule="exact"/>
              <w:jc w:val="center"/>
              <w:rPr>
                <w:rFonts w:ascii="仿宋" w:hAnsi="仿宋" w:eastAsia="仿宋"/>
                <w:sz w:val="22"/>
              </w:rPr>
            </w:pPr>
            <w:r>
              <w:rPr>
                <w:rFonts w:ascii="仿宋" w:hAnsi="仿宋" w:eastAsia="仿宋"/>
                <w:sz w:val="22"/>
              </w:rPr>
              <w:t>20%</w:t>
            </w:r>
          </w:p>
        </w:tc>
      </w:tr>
    </w:tbl>
    <w:p>
      <w:pPr>
        <w:autoSpaceDE w:val="0"/>
        <w:autoSpaceDN w:val="0"/>
        <w:adjustRightInd w:val="0"/>
        <w:ind w:left="200"/>
        <w:jc w:val="left"/>
        <w:rPr>
          <w:rFonts w:ascii="宋体" w:cs="宋体"/>
          <w:kern w:val="0"/>
          <w:sz w:val="18"/>
          <w:szCs w:val="18"/>
          <w:lang w:val="zh-CN"/>
        </w:rPr>
      </w:pP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六、政府采购预算情况</w:t>
      </w:r>
    </w:p>
    <w:p>
      <w:pPr>
        <w:outlineLvl w:val="0"/>
        <w:rPr>
          <w:rFonts w:ascii="仿宋" w:hAnsi="仿宋" w:eastAsia="仿宋"/>
          <w:sz w:val="32"/>
          <w:szCs w:val="24"/>
        </w:rPr>
      </w:pPr>
      <w:bookmarkStart w:id="1" w:name="_Toc471398468"/>
      <w:r>
        <w:rPr>
          <w:rFonts w:ascii="Times New Roman" w:hAnsi="Times New Roman" w:eastAsia="方正仿宋_GBK"/>
          <w:sz w:val="32"/>
          <w:szCs w:val="24"/>
        </w:rPr>
        <w:t xml:space="preserve">   </w:t>
      </w:r>
      <w:r>
        <w:rPr>
          <w:rFonts w:ascii="仿宋" w:hAnsi="仿宋" w:eastAsia="仿宋"/>
          <w:sz w:val="32"/>
          <w:szCs w:val="24"/>
        </w:rPr>
        <w:t>2017</w:t>
      </w:r>
      <w:r>
        <w:rPr>
          <w:rFonts w:hint="eastAsia" w:ascii="仿宋" w:hAnsi="仿宋" w:eastAsia="仿宋"/>
          <w:sz w:val="32"/>
          <w:szCs w:val="24"/>
        </w:rPr>
        <w:t>年，我单位安排政府采购预算</w:t>
      </w:r>
      <w:r>
        <w:rPr>
          <w:rFonts w:ascii="仿宋" w:hAnsi="仿宋" w:eastAsia="仿宋"/>
          <w:sz w:val="32"/>
          <w:szCs w:val="24"/>
        </w:rPr>
        <w:t>0</w:t>
      </w:r>
      <w:r>
        <w:rPr>
          <w:rFonts w:hint="eastAsia" w:ascii="仿宋" w:hAnsi="仿宋" w:eastAsia="仿宋"/>
          <w:sz w:val="32"/>
          <w:szCs w:val="24"/>
        </w:rPr>
        <w:t>万元。</w:t>
      </w:r>
    </w:p>
    <w:bookmarkEnd w:id="1"/>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七、国有资产信息</w:t>
      </w:r>
    </w:p>
    <w:p>
      <w:pPr>
        <w:ind w:firstLine="640"/>
        <w:rPr>
          <w:rFonts w:hint="eastAsia" w:ascii="仿宋" w:hAnsi="仿宋" w:eastAsia="仿宋" w:cs="仿宋"/>
          <w:sz w:val="32"/>
          <w:szCs w:val="32"/>
        </w:rPr>
      </w:pPr>
      <w:r>
        <w:rPr>
          <w:rFonts w:hint="eastAsia" w:ascii="仿宋" w:hAnsi="仿宋" w:eastAsia="仿宋" w:cs="仿宋"/>
          <w:sz w:val="32"/>
          <w:szCs w:val="32"/>
        </w:rPr>
        <w:t>廊坊市中共大厂回族自治县委政法委员会上年末固定资产金额为142.13万元，本年度</w:t>
      </w:r>
      <w:r>
        <w:rPr>
          <w:rFonts w:hint="eastAsia" w:ascii="仿宋" w:hAnsi="仿宋" w:eastAsia="仿宋" w:cs="仿宋"/>
          <w:color w:val="000000"/>
          <w:sz w:val="32"/>
          <w:szCs w:val="32"/>
        </w:rPr>
        <w:t>未安排新增固定资产购置项目。</w:t>
      </w:r>
    </w:p>
    <w:tbl>
      <w:tblPr>
        <w:tblStyle w:val="6"/>
        <w:tblW w:w="8006" w:type="dxa"/>
        <w:tblInd w:w="93" w:type="dxa"/>
        <w:tblLayout w:type="fixed"/>
        <w:tblCellMar>
          <w:top w:w="0" w:type="dxa"/>
          <w:left w:w="108" w:type="dxa"/>
          <w:bottom w:w="0" w:type="dxa"/>
          <w:right w:w="108" w:type="dxa"/>
        </w:tblCellMar>
      </w:tblPr>
      <w:tblGrid>
        <w:gridCol w:w="3102"/>
        <w:gridCol w:w="1873"/>
        <w:gridCol w:w="1"/>
        <w:gridCol w:w="3029"/>
        <w:gridCol w:w="1"/>
      </w:tblGrid>
      <w:tr>
        <w:tblPrEx>
          <w:tblCellMar>
            <w:top w:w="0" w:type="dxa"/>
            <w:left w:w="108" w:type="dxa"/>
            <w:bottom w:w="0" w:type="dxa"/>
            <w:right w:w="108" w:type="dxa"/>
          </w:tblCellMar>
        </w:tblPrEx>
        <w:trPr>
          <w:trHeight w:val="705" w:hRule="atLeast"/>
        </w:trPr>
        <w:tc>
          <w:tcPr>
            <w:tcW w:w="8006" w:type="dxa"/>
            <w:gridSpan w:val="5"/>
            <w:tcBorders>
              <w:top w:val="nil"/>
              <w:left w:val="nil"/>
              <w:bottom w:val="nil"/>
              <w:right w:val="nil"/>
            </w:tcBorders>
            <w:vAlign w:val="center"/>
          </w:tcPr>
          <w:p>
            <w:pPr>
              <w:widowControl/>
              <w:jc w:val="both"/>
              <w:rPr>
                <w:rFonts w:hint="eastAsia" w:ascii="宋体" w:hAnsi="宋体" w:cs="宋体"/>
                <w:b/>
                <w:bCs/>
                <w:kern w:val="0"/>
                <w:sz w:val="32"/>
                <w:szCs w:val="32"/>
              </w:rPr>
            </w:pPr>
          </w:p>
          <w:p>
            <w:pPr>
              <w:widowControl/>
              <w:ind w:firstLine="1928" w:firstLineChars="600"/>
              <w:jc w:val="both"/>
              <w:rPr>
                <w:rFonts w:ascii="宋体" w:cs="宋体"/>
                <w:b/>
                <w:bCs/>
                <w:kern w:val="0"/>
                <w:sz w:val="32"/>
                <w:szCs w:val="32"/>
              </w:rPr>
            </w:pP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gridAfter w:val="1"/>
          <w:wAfter w:w="1" w:type="dxa"/>
          <w:trHeight w:val="510" w:hRule="atLeast"/>
        </w:trPr>
        <w:tc>
          <w:tcPr>
            <w:tcW w:w="4975"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w:t>
            </w:r>
            <w:r>
              <w:rPr>
                <w:rFonts w:hint="eastAsia" w:ascii="宋体" w:hAnsi="宋体" w:cs="宋体"/>
                <w:sz w:val="22"/>
              </w:rPr>
              <w:t>廊坊市中共大厂回族自治县委政法委员会</w:t>
            </w:r>
          </w:p>
        </w:tc>
        <w:tc>
          <w:tcPr>
            <w:tcW w:w="3030"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31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1874"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303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310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187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0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olor w:val="000000"/>
                <w:sz w:val="22"/>
              </w:rPr>
              <w:t>142.13</w:t>
            </w:r>
          </w:p>
        </w:tc>
      </w:tr>
      <w:tr>
        <w:tblPrEx>
          <w:tblCellMar>
            <w:top w:w="0" w:type="dxa"/>
            <w:left w:w="108" w:type="dxa"/>
            <w:bottom w:w="0" w:type="dxa"/>
            <w:right w:w="108" w:type="dxa"/>
          </w:tblCellMar>
        </w:tblPrEx>
        <w:trPr>
          <w:trHeight w:val="645" w:hRule="atLeast"/>
        </w:trPr>
        <w:tc>
          <w:tcPr>
            <w:tcW w:w="310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187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0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310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187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0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310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187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3</w:t>
            </w:r>
          </w:p>
        </w:tc>
        <w:tc>
          <w:tcPr>
            <w:tcW w:w="30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olor w:val="000000"/>
                <w:sz w:val="22"/>
              </w:rPr>
              <w:t>45.14</w:t>
            </w:r>
          </w:p>
        </w:tc>
      </w:tr>
      <w:tr>
        <w:tblPrEx>
          <w:tblCellMar>
            <w:top w:w="0" w:type="dxa"/>
            <w:left w:w="108" w:type="dxa"/>
            <w:bottom w:w="0" w:type="dxa"/>
            <w:right w:w="108" w:type="dxa"/>
          </w:tblCellMar>
        </w:tblPrEx>
        <w:trPr>
          <w:trHeight w:val="645" w:hRule="atLeast"/>
        </w:trPr>
        <w:tc>
          <w:tcPr>
            <w:tcW w:w="310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187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0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645" w:hRule="atLeast"/>
        </w:trPr>
        <w:tc>
          <w:tcPr>
            <w:tcW w:w="310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1874"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030" w:type="dxa"/>
            <w:gridSpan w:val="2"/>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96.9</w:t>
            </w:r>
            <w:r>
              <w:rPr>
                <w:rFonts w:hint="eastAsia" w:ascii="宋体" w:hAnsi="宋体" w:cs="宋体"/>
                <w:kern w:val="0"/>
                <w:sz w:val="22"/>
                <w:lang w:val="en-US" w:eastAsia="zh-CN"/>
              </w:rPr>
              <w:t>9</w:t>
            </w:r>
          </w:p>
        </w:tc>
      </w:tr>
    </w:tbl>
    <w:p>
      <w:pPr>
        <w:rPr>
          <w:rFonts w:ascii="仿宋_GB2312" w:hAnsi="黑体" w:eastAsia="仿宋_GB2312"/>
          <w:color w:val="FF0000"/>
          <w:sz w:val="32"/>
          <w:szCs w:val="32"/>
        </w:rPr>
      </w:pPr>
    </w:p>
    <w:p>
      <w:pPr>
        <w:autoSpaceDE w:val="0"/>
        <w:autoSpaceDN w:val="0"/>
        <w:adjustRightInd w:val="0"/>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八、名词解释</w:t>
      </w:r>
    </w:p>
    <w:p>
      <w:pPr>
        <w:pStyle w:val="11"/>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、一般公共预算拨款收入：指县级财政当年拨付的资金。</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2</w:t>
      </w:r>
      <w:r>
        <w:rPr>
          <w:rFonts w:hint="eastAsia" w:ascii="仿宋" w:hAnsi="仿宋" w:eastAsia="仿宋" w:cs="仿宋"/>
          <w:sz w:val="32"/>
          <w:szCs w:val="32"/>
        </w:rPr>
        <w:t>、事业收入：指事业单位开展专业业务活动及辅助活动所取得的收入。</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3</w:t>
      </w:r>
      <w:r>
        <w:rPr>
          <w:rFonts w:hint="eastAsia" w:ascii="仿宋" w:hAnsi="仿宋" w:eastAsia="仿宋" w:cs="仿宋"/>
          <w:sz w:val="32"/>
          <w:szCs w:val="32"/>
        </w:rPr>
        <w:t>、其他收入：指除上述“财政拨款收入”、“事业收入”等以外的收入。主要是按规定动用的租房收入、存款利息收入等。</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4</w:t>
      </w:r>
      <w:r>
        <w:rPr>
          <w:rFonts w:hint="eastAsia" w:ascii="仿宋" w:hAnsi="仿宋" w:eastAsia="仿宋" w:cs="仿宋"/>
          <w:sz w:val="32"/>
          <w:szCs w:val="32"/>
        </w:rPr>
        <w:t>、基本支出：指为保障机构正常运转、完成日常工作任务而发生的人员支出和公用支出。</w:t>
      </w:r>
    </w:p>
    <w:p>
      <w:pPr>
        <w:rPr>
          <w:rFonts w:hint="eastAsia" w:ascii="仿宋" w:hAnsi="仿宋" w:eastAsia="仿宋" w:cs="仿宋"/>
          <w:sz w:val="32"/>
          <w:szCs w:val="32"/>
        </w:rPr>
      </w:pPr>
      <w:r>
        <w:rPr>
          <w:rFonts w:hint="eastAsia" w:ascii="仿宋" w:hAnsi="仿宋" w:eastAsia="仿宋" w:cs="仿宋"/>
          <w:b/>
          <w:bCs/>
          <w:sz w:val="32"/>
          <w:szCs w:val="32"/>
        </w:rPr>
        <w:t xml:space="preserve">    5</w:t>
      </w:r>
      <w:r>
        <w:rPr>
          <w:rFonts w:hint="eastAsia" w:ascii="仿宋" w:hAnsi="仿宋" w:eastAsia="仿宋" w:cs="仿宋"/>
          <w:sz w:val="32"/>
          <w:szCs w:val="32"/>
        </w:rPr>
        <w:t>、项目支出：指在基本支出之外为完成特定行政任务和事业发展目标所发生的支出。</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6</w:t>
      </w:r>
      <w:r>
        <w:rPr>
          <w:rFonts w:hint="eastAsia" w:ascii="仿宋" w:hAnsi="仿宋" w:eastAsia="仿宋" w:cs="仿宋"/>
          <w:sz w:val="32"/>
          <w:szCs w:val="32"/>
        </w:rPr>
        <w:t>、上缴上级支出：指下级单位上缴上级的支出。</w:t>
      </w:r>
    </w:p>
    <w:p>
      <w:pPr>
        <w:pStyle w:val="11"/>
        <w:rPr>
          <w:rFonts w:hint="eastAsia" w:ascii="仿宋" w:hAnsi="仿宋" w:eastAsia="仿宋" w:cs="仿宋"/>
          <w:sz w:val="32"/>
          <w:szCs w:val="32"/>
        </w:rPr>
      </w:pPr>
      <w:r>
        <w:rPr>
          <w:rFonts w:hint="eastAsia" w:ascii="仿宋" w:hAnsi="仿宋" w:eastAsia="仿宋" w:cs="仿宋"/>
          <w:b/>
          <w:bCs/>
          <w:sz w:val="32"/>
          <w:szCs w:val="32"/>
        </w:rPr>
        <w:t xml:space="preserve">    7</w:t>
      </w:r>
      <w:r>
        <w:rPr>
          <w:rFonts w:hint="eastAsia" w:ascii="仿宋" w:hAnsi="仿宋" w:eastAsia="仿宋" w:cs="仿宋"/>
          <w:sz w:val="32"/>
          <w:szCs w:val="32"/>
        </w:rPr>
        <w:t>、</w:t>
      </w:r>
      <w:r>
        <w:rPr>
          <w:rFonts w:hint="eastAsia" w:ascii="仿宋" w:hAnsi="仿宋" w:eastAsia="仿宋" w:cs="仿宋"/>
          <w:b/>
          <w:bCs/>
          <w:sz w:val="32"/>
          <w:szCs w:val="32"/>
        </w:rPr>
        <w:t>“</w:t>
      </w:r>
      <w:r>
        <w:rPr>
          <w:rFonts w:hint="eastAsia" w:ascii="仿宋" w:hAnsi="仿宋" w:eastAsia="仿宋" w:cs="仿宋"/>
          <w:sz w:val="32"/>
          <w:szCs w:val="32"/>
        </w:rPr>
        <w:t>三公</w:t>
      </w:r>
      <w:r>
        <w:rPr>
          <w:rFonts w:hint="eastAsia" w:ascii="仿宋" w:hAnsi="仿宋" w:eastAsia="仿宋" w:cs="仿宋"/>
          <w:b/>
          <w:bCs/>
          <w:sz w:val="32"/>
          <w:szCs w:val="32"/>
        </w:rPr>
        <w:t>”</w:t>
      </w:r>
      <w:r>
        <w:rPr>
          <w:rFonts w:hint="eastAsia" w:ascii="仿宋" w:hAnsi="仿宋" w:eastAsia="仿宋" w:cs="仿宋"/>
          <w:sz w:val="32"/>
          <w:szCs w:val="32"/>
        </w:rPr>
        <w:t>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仿宋" w:hAnsi="仿宋" w:eastAsia="仿宋" w:cs="仿宋"/>
          <w:sz w:val="32"/>
          <w:szCs w:val="32"/>
        </w:rPr>
      </w:pPr>
      <w:r>
        <w:rPr>
          <w:rFonts w:hint="eastAsia" w:ascii="仿宋" w:hAnsi="仿宋" w:eastAsia="仿宋" w:cs="仿宋"/>
          <w:b/>
          <w:bCs/>
          <w:sz w:val="32"/>
          <w:szCs w:val="32"/>
        </w:rPr>
        <w:t xml:space="preserve">    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九、其它需要说明的事项</w:t>
      </w:r>
    </w:p>
    <w:p>
      <w:pPr>
        <w:widowControl/>
        <w:spacing w:line="420" w:lineRule="atLeast"/>
        <w:ind w:firstLine="594"/>
        <w:jc w:val="left"/>
        <w:rPr>
          <w:rFonts w:hint="eastAsia" w:ascii="仿宋" w:hAnsi="仿宋" w:eastAsia="仿宋" w:cs="仿宋"/>
          <w:color w:val="484747"/>
          <w:kern w:val="0"/>
          <w:sz w:val="32"/>
          <w:szCs w:val="32"/>
        </w:rPr>
      </w:pPr>
      <w:r>
        <w:rPr>
          <w:rFonts w:hint="eastAsia" w:ascii="仿宋" w:hAnsi="仿宋" w:eastAsia="仿宋" w:cs="仿宋"/>
          <w:color w:val="484747"/>
          <w:kern w:val="0"/>
          <w:sz w:val="32"/>
          <w:szCs w:val="32"/>
        </w:rPr>
        <w:t>我单位不涉及政府性基金</w:t>
      </w:r>
      <w:r>
        <w:rPr>
          <w:rFonts w:hint="eastAsia" w:ascii="仿宋" w:hAnsi="仿宋" w:eastAsia="仿宋" w:cs="仿宋"/>
          <w:color w:val="484747"/>
          <w:kern w:val="0"/>
          <w:sz w:val="32"/>
          <w:szCs w:val="32"/>
          <w:lang w:val="en-US" w:eastAsia="zh-CN"/>
        </w:rPr>
        <w:t>预算财政拨款</w:t>
      </w:r>
      <w:r>
        <w:rPr>
          <w:rFonts w:hint="eastAsia" w:ascii="仿宋" w:hAnsi="仿宋" w:eastAsia="仿宋" w:cs="仿宋"/>
          <w:color w:val="484747"/>
          <w:kern w:val="0"/>
          <w:sz w:val="32"/>
          <w:szCs w:val="32"/>
        </w:rPr>
        <w:t>支出，因此政府性基金</w:t>
      </w:r>
      <w:r>
        <w:rPr>
          <w:rFonts w:hint="eastAsia" w:ascii="仿宋" w:hAnsi="仿宋" w:eastAsia="仿宋" w:cs="仿宋"/>
          <w:color w:val="484747"/>
          <w:kern w:val="0"/>
          <w:sz w:val="32"/>
          <w:szCs w:val="32"/>
          <w:lang w:val="en-US" w:eastAsia="zh-CN"/>
        </w:rPr>
        <w:t>预算财政拨款</w:t>
      </w:r>
      <w:r>
        <w:rPr>
          <w:rFonts w:hint="eastAsia" w:ascii="仿宋" w:hAnsi="仿宋" w:eastAsia="仿宋" w:cs="仿宋"/>
          <w:color w:val="484747"/>
          <w:kern w:val="0"/>
          <w:sz w:val="32"/>
          <w:szCs w:val="32"/>
        </w:rPr>
        <w:t>支出表没有数据；我单位不涉及国有资本经营</w:t>
      </w:r>
      <w:r>
        <w:rPr>
          <w:rFonts w:hint="eastAsia" w:ascii="仿宋" w:hAnsi="仿宋" w:eastAsia="仿宋" w:cs="仿宋"/>
          <w:color w:val="484747"/>
          <w:kern w:val="0"/>
          <w:sz w:val="32"/>
          <w:szCs w:val="32"/>
          <w:lang w:val="en-US" w:eastAsia="zh-CN"/>
        </w:rPr>
        <w:t>预算财政拨款</w:t>
      </w:r>
      <w:r>
        <w:rPr>
          <w:rFonts w:hint="eastAsia" w:ascii="仿宋" w:hAnsi="仿宋" w:eastAsia="仿宋" w:cs="仿宋"/>
          <w:color w:val="484747"/>
          <w:kern w:val="0"/>
          <w:sz w:val="32"/>
          <w:szCs w:val="32"/>
        </w:rPr>
        <w:t>支出，因此国有资本经营</w:t>
      </w:r>
      <w:r>
        <w:rPr>
          <w:rFonts w:hint="eastAsia" w:ascii="仿宋" w:hAnsi="仿宋" w:eastAsia="仿宋" w:cs="仿宋"/>
          <w:color w:val="484747"/>
          <w:kern w:val="0"/>
          <w:sz w:val="32"/>
          <w:szCs w:val="32"/>
          <w:lang w:val="en-US" w:eastAsia="zh-CN"/>
        </w:rPr>
        <w:t>预算财政拨款支出</w:t>
      </w:r>
      <w:r>
        <w:rPr>
          <w:rFonts w:hint="eastAsia" w:ascii="仿宋" w:hAnsi="仿宋" w:eastAsia="仿宋" w:cs="仿宋"/>
          <w:color w:val="484747"/>
          <w:kern w:val="0"/>
          <w:sz w:val="32"/>
          <w:szCs w:val="32"/>
        </w:rPr>
        <w:t>表没有数据。</w:t>
      </w:r>
    </w:p>
    <w:p>
      <w:pPr>
        <w:tabs>
          <w:tab w:val="left" w:pos="11490"/>
        </w:tabs>
        <w:ind w:firstLine="1280" w:firstLineChars="400"/>
        <w:rPr>
          <w:rFonts w:ascii="仿宋" w:hAnsi="仿宋" w:eastAsia="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SimSun-ExtB"/>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5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方正仿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1E61"/>
    <w:rsid w:val="000278C6"/>
    <w:rsid w:val="00037AF6"/>
    <w:rsid w:val="00045A61"/>
    <w:rsid w:val="00075D5F"/>
    <w:rsid w:val="000B07C5"/>
    <w:rsid w:val="000C3A19"/>
    <w:rsid w:val="000C76CD"/>
    <w:rsid w:val="000D1566"/>
    <w:rsid w:val="001245BB"/>
    <w:rsid w:val="001664E4"/>
    <w:rsid w:val="0018479D"/>
    <w:rsid w:val="00196588"/>
    <w:rsid w:val="001F0E8A"/>
    <w:rsid w:val="001F747B"/>
    <w:rsid w:val="00202A86"/>
    <w:rsid w:val="00224279"/>
    <w:rsid w:val="00241FD4"/>
    <w:rsid w:val="00251B12"/>
    <w:rsid w:val="002645FB"/>
    <w:rsid w:val="002928C1"/>
    <w:rsid w:val="00296113"/>
    <w:rsid w:val="002F182B"/>
    <w:rsid w:val="002F3A11"/>
    <w:rsid w:val="002F3E58"/>
    <w:rsid w:val="0030542C"/>
    <w:rsid w:val="00311B7A"/>
    <w:rsid w:val="00392703"/>
    <w:rsid w:val="003A67E1"/>
    <w:rsid w:val="003E1A7F"/>
    <w:rsid w:val="003E1FA1"/>
    <w:rsid w:val="00430208"/>
    <w:rsid w:val="00451871"/>
    <w:rsid w:val="00472923"/>
    <w:rsid w:val="004E3066"/>
    <w:rsid w:val="004E74CD"/>
    <w:rsid w:val="00511DDF"/>
    <w:rsid w:val="0052276E"/>
    <w:rsid w:val="00540395"/>
    <w:rsid w:val="00556809"/>
    <w:rsid w:val="00573562"/>
    <w:rsid w:val="005B2902"/>
    <w:rsid w:val="005D377B"/>
    <w:rsid w:val="005F41CF"/>
    <w:rsid w:val="00614A29"/>
    <w:rsid w:val="006747D8"/>
    <w:rsid w:val="00683A23"/>
    <w:rsid w:val="00687E8C"/>
    <w:rsid w:val="006B45BB"/>
    <w:rsid w:val="006D70BE"/>
    <w:rsid w:val="00714B78"/>
    <w:rsid w:val="00722FB3"/>
    <w:rsid w:val="0075393C"/>
    <w:rsid w:val="00776C08"/>
    <w:rsid w:val="0078582C"/>
    <w:rsid w:val="007B4EE0"/>
    <w:rsid w:val="007C5137"/>
    <w:rsid w:val="007E1DA8"/>
    <w:rsid w:val="007F6C26"/>
    <w:rsid w:val="008240A2"/>
    <w:rsid w:val="008334AE"/>
    <w:rsid w:val="00836FED"/>
    <w:rsid w:val="0084079B"/>
    <w:rsid w:val="00845CD2"/>
    <w:rsid w:val="008502D8"/>
    <w:rsid w:val="00852B0D"/>
    <w:rsid w:val="00881692"/>
    <w:rsid w:val="008B35BD"/>
    <w:rsid w:val="008B3CC5"/>
    <w:rsid w:val="008C2BAF"/>
    <w:rsid w:val="008E4261"/>
    <w:rsid w:val="008F4662"/>
    <w:rsid w:val="00903281"/>
    <w:rsid w:val="00905D08"/>
    <w:rsid w:val="00925753"/>
    <w:rsid w:val="009413A4"/>
    <w:rsid w:val="0096074D"/>
    <w:rsid w:val="00966C5C"/>
    <w:rsid w:val="00973104"/>
    <w:rsid w:val="00A0036C"/>
    <w:rsid w:val="00A302FF"/>
    <w:rsid w:val="00A42648"/>
    <w:rsid w:val="00A435B7"/>
    <w:rsid w:val="00A60FF2"/>
    <w:rsid w:val="00A72D2E"/>
    <w:rsid w:val="00A8405F"/>
    <w:rsid w:val="00A911E7"/>
    <w:rsid w:val="00A939D9"/>
    <w:rsid w:val="00B20712"/>
    <w:rsid w:val="00B414D1"/>
    <w:rsid w:val="00B43238"/>
    <w:rsid w:val="00B75216"/>
    <w:rsid w:val="00B91D52"/>
    <w:rsid w:val="00BA1ACD"/>
    <w:rsid w:val="00C20D43"/>
    <w:rsid w:val="00C67CC6"/>
    <w:rsid w:val="00C74C50"/>
    <w:rsid w:val="00C949AC"/>
    <w:rsid w:val="00CA7176"/>
    <w:rsid w:val="00CA7DF1"/>
    <w:rsid w:val="00CC450F"/>
    <w:rsid w:val="00CD2773"/>
    <w:rsid w:val="00CE143B"/>
    <w:rsid w:val="00DE0481"/>
    <w:rsid w:val="00E167C7"/>
    <w:rsid w:val="00E32717"/>
    <w:rsid w:val="00E7057C"/>
    <w:rsid w:val="00E909A0"/>
    <w:rsid w:val="00EC47F6"/>
    <w:rsid w:val="00EE1B43"/>
    <w:rsid w:val="00EE2ADA"/>
    <w:rsid w:val="00EF0782"/>
    <w:rsid w:val="00F153EF"/>
    <w:rsid w:val="00F62824"/>
    <w:rsid w:val="00F66032"/>
    <w:rsid w:val="00F958C2"/>
    <w:rsid w:val="033856B0"/>
    <w:rsid w:val="04B21F4C"/>
    <w:rsid w:val="04EB08F5"/>
    <w:rsid w:val="08C61F8F"/>
    <w:rsid w:val="0AC43C47"/>
    <w:rsid w:val="0EFA7944"/>
    <w:rsid w:val="0F8B53C7"/>
    <w:rsid w:val="1965686A"/>
    <w:rsid w:val="1B061971"/>
    <w:rsid w:val="1EC45E9D"/>
    <w:rsid w:val="29AB454A"/>
    <w:rsid w:val="32F37ED8"/>
    <w:rsid w:val="35266E4A"/>
    <w:rsid w:val="380464E1"/>
    <w:rsid w:val="3D352967"/>
    <w:rsid w:val="3EAC68BE"/>
    <w:rsid w:val="40AC7DBD"/>
    <w:rsid w:val="445E6871"/>
    <w:rsid w:val="47D83942"/>
    <w:rsid w:val="49103982"/>
    <w:rsid w:val="4B035A6C"/>
    <w:rsid w:val="4CC44C34"/>
    <w:rsid w:val="5997158A"/>
    <w:rsid w:val="5D694283"/>
    <w:rsid w:val="601E4ECE"/>
    <w:rsid w:val="636D54F1"/>
    <w:rsid w:val="637B55AD"/>
    <w:rsid w:val="6E1B6F09"/>
    <w:rsid w:val="74155FD8"/>
    <w:rsid w:val="7AC90890"/>
    <w:rsid w:val="7D523E3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眉 Char"/>
    <w:basedOn w:val="7"/>
    <w:link w:val="3"/>
    <w:qFormat/>
    <w:locked/>
    <w:uiPriority w:val="99"/>
    <w:rPr>
      <w:rFonts w:ascii="Times New Roman" w:hAnsi="Times New Roman" w:eastAsia="宋体" w:cs="Times New Roman"/>
      <w:sz w:val="18"/>
      <w:szCs w:val="18"/>
    </w:rPr>
  </w:style>
  <w:style w:type="character" w:customStyle="1" w:styleId="9">
    <w:name w:val="页脚 Char"/>
    <w:basedOn w:val="7"/>
    <w:link w:val="2"/>
    <w:qFormat/>
    <w:locked/>
    <w:uiPriority w:val="99"/>
    <w:rPr>
      <w:rFonts w:ascii="Times New Roman" w:hAnsi="Times New Roman" w:eastAsia="宋体" w:cs="Times New Roman"/>
      <w:sz w:val="18"/>
      <w:szCs w:val="18"/>
    </w:rPr>
  </w:style>
  <w:style w:type="paragraph" w:customStyle="1" w:styleId="10">
    <w:name w:val="[Normal]"/>
    <w:qFormat/>
    <w:uiPriority w:val="99"/>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5F28B-1CF1-4AD6-A156-B94F1286D655}">
  <ds:schemaRefs/>
</ds:datastoreItem>
</file>

<file path=docProps/app.xml><?xml version="1.0" encoding="utf-8"?>
<Properties xmlns="http://schemas.openxmlformats.org/officeDocument/2006/extended-properties" xmlns:vt="http://schemas.openxmlformats.org/officeDocument/2006/docPropsVTypes">
  <Template>Normal</Template>
  <Pages>16</Pages>
  <Words>1000</Words>
  <Characters>5705</Characters>
  <Lines>47</Lines>
  <Paragraphs>13</Paragraphs>
  <TotalTime>6</TotalTime>
  <ScaleCrop>false</ScaleCrop>
  <LinksUpToDate>false</LinksUpToDate>
  <CharactersWithSpaces>6692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2017-06-26T06:52:00Z</dcterms:created>
  <dc:creator>guest</dc:creator>
  <cp:lastModifiedBy>HP</cp:lastModifiedBy>
  <dcterms:modified xsi:type="dcterms:W3CDTF">2023-11-07T07:33:52Z</dcterms:modified>
  <dc:title>河北省廊坊市大厂回族自治县委政法委员会2017年部门预算信息公开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